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淮安市区</w:t>
      </w:r>
      <w:r>
        <w:rPr>
          <w:rFonts w:ascii="Times New Roman" w:hAnsi="Times New Roman" w:eastAsia="方正小标宋_GBK" w:cs="Times New Roman"/>
          <w:sz w:val="32"/>
          <w:szCs w:val="32"/>
        </w:rPr>
        <w:t>热电联产规划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2022-2025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）洪泽主城供热片区</w:t>
      </w:r>
    </w:p>
    <w:p>
      <w:pPr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调整方案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公示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稿</w:t>
      </w:r>
    </w:p>
    <w:p>
      <w:pPr>
        <w:spacing w:line="560" w:lineRule="exact"/>
        <w:ind w:firstLine="566" w:firstLineChars="200"/>
        <w:jc w:val="both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为保障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淮安市</w:t>
      </w:r>
      <w:r>
        <w:rPr>
          <w:rFonts w:hint="eastAsia" w:ascii="Times New Roman" w:hAnsi="Times New Roman" w:eastAsia="楷体" w:cs="Times New Roman"/>
          <w:sz w:val="28"/>
          <w:szCs w:val="28"/>
        </w:rPr>
        <w:t>洪泽主城片区能源供应安全，缓解热负荷供需矛盾，谋求热电联产事业新发展局面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楷体" w:cs="Times New Roman"/>
          <w:sz w:val="28"/>
          <w:szCs w:val="28"/>
        </w:rPr>
        <w:t>现将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《淮安市区热电联产规划（2022-2025）洪泽主城供热片区调整方案》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调整方案主要内容公示</w:t>
      </w:r>
      <w:r>
        <w:rPr>
          <w:rFonts w:hint="eastAsia" w:ascii="Times New Roman" w:hAnsi="Times New Roman" w:eastAsia="楷体" w:cs="Times New Roman"/>
          <w:sz w:val="28"/>
          <w:szCs w:val="28"/>
        </w:rPr>
        <w:t>如下：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规划范围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洪泽主城供热片区范围不变，供热范围：东起S247，南至东双沟镇边界、西至洪泽湖，北至淮安工业园，包括高良涧街道、朱坝街道、黄集街道、洪泽经济开发区。</w:t>
      </w:r>
    </w:p>
    <w:p>
      <w:pPr>
        <w:ind w:firstLine="566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淮安市区其它供热片区维持不变。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二、规划期限</w:t>
      </w:r>
    </w:p>
    <w:p>
      <w:pPr>
        <w:ind w:firstLine="566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规划期：202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sz w:val="28"/>
          <w:szCs w:val="28"/>
        </w:rPr>
        <w:t>-2025年；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维持不变</w:t>
      </w:r>
      <w:r>
        <w:rPr>
          <w:rFonts w:hint="eastAsia" w:ascii="Times New Roman" w:hAnsi="Times New Roman" w:eastAsia="楷体" w:cs="Times New Roman"/>
          <w:sz w:val="28"/>
          <w:szCs w:val="28"/>
        </w:rPr>
        <w:t>。</w:t>
      </w:r>
    </w:p>
    <w:p>
      <w:pP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三、调整背景</w:t>
      </w:r>
    </w:p>
    <w:p>
      <w:pPr>
        <w:ind w:firstLine="566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本次方案调整背景主要原因如下：一是片区热负荷急剧发展，在省重大项目台华新材的带动下，存量企业和新增项目用热增加量超预期规划值；二是原规划主力热源点中电（洪泽）热电有限公司股权方已全部退出，现由江苏洪泽湖建设投资集团有限公司地方投资平台主导，即由其全资子公司淮安市洪泽区润湖热力发展有限公司建设投资；三是现有厂址扩建条件受限，部分设施租用苏北灌溉总渠右堤场地，随时面临着拆除风险。</w:t>
      </w:r>
    </w:p>
    <w:p>
      <w:pPr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热负荷变化情况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2023年以来，洪泽经济转好向上，片区新增用热项目逐渐落地，存量项目持续开展扩建工作，新引进落地一批用热项目。根据最新热负荷需求，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除原有热负荷外，</w:t>
      </w:r>
      <w:r>
        <w:rPr>
          <w:rFonts w:hint="eastAsia" w:ascii="Times New Roman" w:hAnsi="Times New Roman" w:eastAsia="楷体" w:cs="Times New Roman"/>
          <w:sz w:val="28"/>
          <w:szCs w:val="28"/>
        </w:rPr>
        <w:t>浙江台华新材料股份有限公司绿色多功能锦纶新材料一体化项目、江苏奥维芳纶纤维有限公司年产2万吨高性能芳纶及复合材料应用项目等用热需求较大。规划期（2025年）热负荷有较大增长，平均热负荷由170.5t/h（1.5M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P</w:t>
      </w:r>
      <w:r>
        <w:rPr>
          <w:rFonts w:hint="eastAsia" w:ascii="Times New Roman" w:hAnsi="Times New Roman" w:eastAsia="楷体" w:cs="Times New Roman"/>
          <w:sz w:val="28"/>
          <w:szCs w:val="28"/>
        </w:rPr>
        <w:t>a）、216.3t/h（1.0M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P</w:t>
      </w:r>
      <w:r>
        <w:rPr>
          <w:rFonts w:hint="eastAsia" w:ascii="Times New Roman" w:hAnsi="Times New Roman" w:eastAsia="楷体" w:cs="Times New Roman"/>
          <w:sz w:val="28"/>
          <w:szCs w:val="28"/>
        </w:rPr>
        <w:t>a）增长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到</w:t>
      </w:r>
      <w:r>
        <w:rPr>
          <w:rFonts w:hint="eastAsia" w:ascii="Times New Roman" w:hAnsi="Times New Roman" w:eastAsia="楷体" w:cs="Times New Roman"/>
          <w:sz w:val="28"/>
          <w:szCs w:val="28"/>
        </w:rPr>
        <w:t>170.5t/h（1.5M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P</w:t>
      </w:r>
      <w:r>
        <w:rPr>
          <w:rFonts w:hint="eastAsia" w:ascii="Times New Roman" w:hAnsi="Times New Roman" w:eastAsia="楷体" w:cs="Times New Roman"/>
          <w:sz w:val="28"/>
          <w:szCs w:val="28"/>
        </w:rPr>
        <w:t>a）、307.78t/h（1.0M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P</w:t>
      </w:r>
      <w:r>
        <w:rPr>
          <w:rFonts w:hint="eastAsia" w:ascii="Times New Roman" w:hAnsi="Times New Roman" w:eastAsia="楷体" w:cs="Times New Roman"/>
          <w:sz w:val="28"/>
          <w:szCs w:val="28"/>
        </w:rPr>
        <w:t>a）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新增热负荷91.48t/h（1.0MPa）</w:t>
      </w:r>
      <w:r>
        <w:rPr>
          <w:rFonts w:hint="eastAsia" w:ascii="Times New Roman" w:hAnsi="Times New Roman" w:eastAsia="楷体" w:cs="Times New Roman"/>
          <w:sz w:val="28"/>
          <w:szCs w:val="28"/>
        </w:rPr>
        <w:t>。</w:t>
      </w:r>
    </w:p>
    <w:p>
      <w:pP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五、规划热源调整设想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区域主力公共热源点：洪泽热电联产异地建设项目（原中电（洪泽）热电有限公司整体搬迁新建）；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补充热源点：现有江苏中恩新能源有限公司生物质供热站；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临时热源点：现有江苏戴梦特化工科技股份有限公司自备热电厂。</w:t>
      </w:r>
    </w:p>
    <w:p>
      <w:pPr>
        <w:ind w:firstLine="566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新建热源点性质：综合考虑中电（洪泽）热电有限公司现有厂址条件及区域热负荷需求，本次规划调整方案建议在洪泽经济开发区内选址（由原人民北路40号调整到冶金大道北侧），拟建设4台220 t/h燃煤锅炉、2套B30MW级背压式汽轮发电机组、1套B18MW级背压式汽轮发电机组以及压缩空气机组，采用异地新建方式满足片区热负荷需求，待项目建成后，关停整合现有1×75t/h+1×130t/h循环流化床燃煤锅炉+1×C6MW+1×B15MW级汽轮发电机组。</w:t>
      </w:r>
    </w:p>
    <w:p>
      <w:pPr>
        <w:spacing w:before="120"/>
        <w:ind w:firstLine="0"/>
        <w:jc w:val="center"/>
        <w:rPr>
          <w:rFonts w:eastAsia="文鼎CS中宋"/>
          <w:sz w:val="24"/>
        </w:rPr>
      </w:pPr>
    </w:p>
    <w:p>
      <w:pPr>
        <w:spacing w:before="120"/>
        <w:ind w:firstLine="0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  <w:t>表5-1  规划期内洪泽主城供热片区热源点新增规模参考方案</w:t>
      </w:r>
    </w:p>
    <w:tbl>
      <w:tblPr>
        <w:tblStyle w:val="11"/>
        <w:tblW w:w="85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542"/>
        <w:gridCol w:w="980"/>
        <w:gridCol w:w="1919"/>
        <w:gridCol w:w="3716"/>
        <w:gridCol w:w="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8" w:type="dxa"/>
            <w:vAlign w:val="center"/>
          </w:tcPr>
          <w:p>
            <w:pPr>
              <w:pStyle w:val="17"/>
            </w:pPr>
            <w:r>
              <w:t>序号</w:t>
            </w:r>
          </w:p>
        </w:tc>
        <w:tc>
          <w:tcPr>
            <w:tcW w:w="542" w:type="dxa"/>
            <w:vAlign w:val="center"/>
          </w:tcPr>
          <w:p>
            <w:pPr>
              <w:pStyle w:val="17"/>
            </w:pPr>
            <w:r>
              <w:t>片区名称</w:t>
            </w:r>
          </w:p>
        </w:tc>
        <w:tc>
          <w:tcPr>
            <w:tcW w:w="980" w:type="dxa"/>
            <w:vAlign w:val="center"/>
          </w:tcPr>
          <w:p>
            <w:pPr>
              <w:pStyle w:val="17"/>
            </w:pPr>
            <w:r>
              <w:t>热电厂名称</w:t>
            </w:r>
          </w:p>
        </w:tc>
        <w:tc>
          <w:tcPr>
            <w:tcW w:w="1919" w:type="dxa"/>
            <w:vAlign w:val="center"/>
          </w:tcPr>
          <w:p>
            <w:pPr>
              <w:pStyle w:val="17"/>
            </w:pPr>
            <w:r>
              <w:t>现有规模</w:t>
            </w:r>
          </w:p>
        </w:tc>
        <w:tc>
          <w:tcPr>
            <w:tcW w:w="3716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规划</w:t>
            </w:r>
            <w:r>
              <w:t>装机方案</w:t>
            </w:r>
          </w:p>
        </w:tc>
        <w:tc>
          <w:tcPr>
            <w:tcW w:w="943" w:type="dxa"/>
            <w:vAlign w:val="center"/>
          </w:tcPr>
          <w:p>
            <w:pPr>
              <w:pStyle w:val="17"/>
            </w:pPr>
            <w:r>
              <w:t>供热能力（t/h）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1</w:t>
            </w:r>
          </w:p>
        </w:tc>
        <w:tc>
          <w:tcPr>
            <w:tcW w:w="542" w:type="dxa"/>
            <w:vMerge w:val="restart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洪泽主城供热片区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洪泽主城片区热电异地新建项目</w:t>
            </w:r>
          </w:p>
        </w:tc>
        <w:tc>
          <w:tcPr>
            <w:tcW w:w="19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1×75t/h锅炉+1×C6MW汽轮发电机组；1×130t/h锅炉+1×B15MW汽轮发电机组</w:t>
            </w:r>
          </w:p>
        </w:tc>
        <w:tc>
          <w:tcPr>
            <w:tcW w:w="3716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4×220t/h燃煤锅炉+1×B18MW级+2×B30MW级背压汽轮机组及配套空压机装置。（待项目建成后，关停现有1×75t/h+1×130t/h循环流化床燃煤锅炉+1×C6MW+1×B15MW级汽轮发电机组）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2</w:t>
            </w: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江苏中恩新能源有限公司</w:t>
            </w:r>
          </w:p>
        </w:tc>
        <w:tc>
          <w:tcPr>
            <w:tcW w:w="19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1×30t/h生物质锅炉</w:t>
            </w:r>
          </w:p>
        </w:tc>
        <w:tc>
          <w:tcPr>
            <w:tcW w:w="3716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维持现状不变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default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3</w:t>
            </w: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江苏戴梦特化工科技股份有限公司热电厂（自备）</w:t>
            </w:r>
          </w:p>
        </w:tc>
        <w:tc>
          <w:tcPr>
            <w:tcW w:w="19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3×75t/h燃煤循环流化床锅炉+2×CB6MW汽轮发电机组</w:t>
            </w:r>
          </w:p>
        </w:tc>
        <w:tc>
          <w:tcPr>
            <w:tcW w:w="3716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维持现状不变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lang w:val="en-US" w:eastAsia="zh-CN"/>
              </w:rPr>
              <w:t>120（富余对外60）</w:t>
            </w:r>
          </w:p>
        </w:tc>
      </w:tr>
    </w:tbl>
    <w:p>
      <w:pP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六、实施效果</w:t>
      </w:r>
    </w:p>
    <w:p>
      <w:pPr>
        <w:pStyle w:val="19"/>
        <w:spacing w:before="0" w:line="520" w:lineRule="exact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  <w:t>表6-1  洪泽供热片区热电联产方案能源利用效益汇总表</w:t>
      </w:r>
    </w:p>
    <w:tbl>
      <w:tblPr>
        <w:tblStyle w:val="11"/>
        <w:tblW w:w="8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629"/>
        <w:gridCol w:w="4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8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eastAsia="黑体"/>
                <w:spacing w:val="-10"/>
                <w:sz w:val="21"/>
              </w:rPr>
            </w:pPr>
            <w:r>
              <w:rPr>
                <w:rFonts w:eastAsia="黑体"/>
                <w:spacing w:val="-10"/>
                <w:sz w:val="21"/>
              </w:rPr>
              <w:t>项目类别</w:t>
            </w:r>
          </w:p>
        </w:tc>
        <w:tc>
          <w:tcPr>
            <w:tcW w:w="16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eastAsia="黑体"/>
                <w:spacing w:val="-10"/>
                <w:sz w:val="21"/>
              </w:rPr>
            </w:pPr>
            <w:r>
              <w:rPr>
                <w:rFonts w:eastAsia="黑体"/>
                <w:spacing w:val="-10"/>
                <w:sz w:val="21"/>
              </w:rPr>
              <w:t>单位</w:t>
            </w:r>
          </w:p>
        </w:tc>
        <w:tc>
          <w:tcPr>
            <w:tcW w:w="4217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eastAsia="黑体"/>
                <w:spacing w:val="-10"/>
                <w:sz w:val="21"/>
              </w:rPr>
            </w:pPr>
            <w:r>
              <w:rPr>
                <w:rFonts w:hint="eastAsia" w:eastAsia="黑体"/>
                <w:spacing w:val="-10"/>
                <w:sz w:val="21"/>
              </w:rPr>
              <w:t>洪泽热电异地新建项目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8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atLeast"/>
              <w:ind w:firstLine="0"/>
              <w:jc w:val="left"/>
              <w:rPr>
                <w:spacing w:val="-10"/>
                <w:sz w:val="21"/>
              </w:rPr>
            </w:pPr>
          </w:p>
        </w:tc>
        <w:tc>
          <w:tcPr>
            <w:tcW w:w="16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atLeast"/>
              <w:ind w:firstLine="0"/>
              <w:jc w:val="center"/>
              <w:rPr>
                <w:spacing w:val="-10"/>
                <w:sz w:val="21"/>
              </w:rPr>
            </w:pPr>
          </w:p>
        </w:tc>
        <w:tc>
          <w:tcPr>
            <w:tcW w:w="4217" w:type="dxa"/>
            <w:vMerge w:val="continue"/>
            <w:vAlign w:val="center"/>
          </w:tcPr>
          <w:p>
            <w:pPr>
              <w:spacing w:line="320" w:lineRule="atLeast"/>
              <w:ind w:firstLine="0"/>
              <w:jc w:val="left"/>
              <w:rPr>
                <w:spacing w:val="-10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综合热效率</w:t>
            </w:r>
          </w:p>
        </w:tc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%</w:t>
            </w:r>
          </w:p>
        </w:tc>
        <w:tc>
          <w:tcPr>
            <w:tcW w:w="4217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热电比</w:t>
            </w:r>
          </w:p>
        </w:tc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%</w:t>
            </w:r>
          </w:p>
        </w:tc>
        <w:tc>
          <w:tcPr>
            <w:tcW w:w="4217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562.6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节能量</w:t>
            </w:r>
          </w:p>
        </w:tc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万tce</w:t>
            </w:r>
          </w:p>
        </w:tc>
        <w:tc>
          <w:tcPr>
            <w:tcW w:w="4217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新增能耗量</w:t>
            </w:r>
          </w:p>
        </w:tc>
        <w:tc>
          <w:tcPr>
            <w:tcW w:w="162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万tce</w:t>
            </w:r>
          </w:p>
        </w:tc>
        <w:tc>
          <w:tcPr>
            <w:tcW w:w="4217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新增能耗影响</w:t>
            </w:r>
          </w:p>
        </w:tc>
        <w:tc>
          <w:tcPr>
            <w:tcW w:w="58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1.3%</w:t>
            </w:r>
          </w:p>
        </w:tc>
      </w:tr>
    </w:tbl>
    <w:p>
      <w:pPr>
        <w:pStyle w:val="19"/>
        <w:spacing w:before="0" w:line="520" w:lineRule="exact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  <w:t>表6-2  洪泽污染物削减排放量</w:t>
      </w:r>
    </w:p>
    <w:tbl>
      <w:tblPr>
        <w:tblStyle w:val="11"/>
        <w:tblW w:w="83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622"/>
        <w:gridCol w:w="1818"/>
        <w:gridCol w:w="1719"/>
        <w:gridCol w:w="13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6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atLeast"/>
              <w:ind w:firstLine="0"/>
              <w:jc w:val="center"/>
              <w:rPr>
                <w:rFonts w:hint="eastAsia" w:eastAsia="黑体"/>
                <w:spacing w:val="-10"/>
                <w:sz w:val="21"/>
                <w:lang w:val="en-US" w:eastAsia="zh-CN"/>
              </w:rPr>
            </w:pPr>
            <w:r>
              <w:rPr>
                <w:rFonts w:eastAsia="黑体"/>
                <w:spacing w:val="-10"/>
                <w:sz w:val="21"/>
              </w:rPr>
              <w:t>项目</w:t>
            </w:r>
            <w:r>
              <w:rPr>
                <w:rFonts w:hint="eastAsia" w:eastAsia="黑体"/>
                <w:spacing w:val="-10"/>
                <w:sz w:val="21"/>
                <w:lang w:val="en-US" w:eastAsia="zh-CN"/>
              </w:rPr>
              <w:t>名称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atLeast"/>
              <w:ind w:firstLine="0"/>
              <w:jc w:val="center"/>
              <w:rPr>
                <w:rFonts w:eastAsia="黑体"/>
                <w:spacing w:val="0"/>
                <w:sz w:val="21"/>
                <w:szCs w:val="28"/>
              </w:rPr>
            </w:pPr>
            <w:r>
              <w:rPr>
                <w:rFonts w:eastAsia="黑体"/>
                <w:spacing w:val="-10"/>
                <w:sz w:val="21"/>
                <w:szCs w:val="28"/>
              </w:rPr>
              <w:t>现有</w:t>
            </w:r>
            <w:r>
              <w:rPr>
                <w:rFonts w:hint="eastAsia" w:eastAsia="黑体"/>
                <w:spacing w:val="-10"/>
                <w:sz w:val="21"/>
                <w:szCs w:val="28"/>
              </w:rPr>
              <w:t>热电机组</w:t>
            </w:r>
            <w:r>
              <w:rPr>
                <w:rFonts w:eastAsia="黑体"/>
                <w:spacing w:val="-10"/>
                <w:sz w:val="21"/>
                <w:szCs w:val="28"/>
              </w:rPr>
              <w:t>排放量</w:t>
            </w:r>
          </w:p>
        </w:tc>
        <w:tc>
          <w:tcPr>
            <w:tcW w:w="1818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atLeast"/>
              <w:ind w:firstLine="0"/>
              <w:jc w:val="center"/>
              <w:rPr>
                <w:rFonts w:eastAsia="黑体"/>
                <w:spacing w:val="-10"/>
                <w:sz w:val="21"/>
              </w:rPr>
            </w:pPr>
            <w:r>
              <w:rPr>
                <w:rFonts w:eastAsia="黑体"/>
                <w:spacing w:val="-10"/>
                <w:sz w:val="21"/>
              </w:rPr>
              <w:t>推荐机组在外供热量和电量均相同时的污染物排放量</w:t>
            </w:r>
          </w:p>
        </w:tc>
        <w:tc>
          <w:tcPr>
            <w:tcW w:w="1719" w:type="dxa"/>
            <w:vAlign w:val="center"/>
          </w:tcPr>
          <w:p>
            <w:pPr>
              <w:snapToGrid w:val="0"/>
              <w:spacing w:line="320" w:lineRule="atLeast"/>
              <w:ind w:firstLine="0"/>
              <w:jc w:val="center"/>
              <w:rPr>
                <w:rFonts w:eastAsia="黑体"/>
                <w:spacing w:val="-10"/>
                <w:sz w:val="21"/>
              </w:rPr>
            </w:pPr>
            <w:r>
              <w:rPr>
                <w:rFonts w:eastAsia="黑体"/>
                <w:spacing w:val="-10"/>
                <w:sz w:val="21"/>
              </w:rPr>
              <w:t>热电增量部分</w:t>
            </w:r>
            <w:r>
              <w:rPr>
                <w:rFonts w:hint="eastAsia" w:eastAsia="黑体"/>
                <w:spacing w:val="-10"/>
                <w:sz w:val="21"/>
              </w:rPr>
              <w:t>推荐机组新增排放量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atLeast"/>
              <w:ind w:firstLine="0"/>
              <w:jc w:val="center"/>
              <w:rPr>
                <w:rFonts w:eastAsia="黑体"/>
                <w:spacing w:val="-10"/>
                <w:sz w:val="21"/>
                <w:szCs w:val="28"/>
              </w:rPr>
            </w:pPr>
            <w:r>
              <w:rPr>
                <w:rFonts w:eastAsia="黑体"/>
                <w:spacing w:val="-10"/>
                <w:sz w:val="21"/>
                <w:szCs w:val="28"/>
              </w:rPr>
              <w:t>规划期减排量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烟尘年排放量（吨）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12.9</w:t>
            </w:r>
          </w:p>
        </w:tc>
        <w:tc>
          <w:tcPr>
            <w:tcW w:w="181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6.1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10.6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-3.9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SO</w:t>
            </w: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  <w:vertAlign w:val="subscript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年排放量（吨）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45.1</w:t>
            </w:r>
          </w:p>
        </w:tc>
        <w:tc>
          <w:tcPr>
            <w:tcW w:w="181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42.8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74.4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-72.1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6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NOx年排放量（吨）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64.4</w:t>
            </w:r>
          </w:p>
        </w:tc>
        <w:tc>
          <w:tcPr>
            <w:tcW w:w="181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61.1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106.3</w:t>
            </w: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Cs w:val="20"/>
              </w:rPr>
              <w:t>-103.0</w:t>
            </w:r>
          </w:p>
        </w:tc>
      </w:tr>
    </w:tbl>
    <w:p>
      <w:pPr>
        <w:pStyle w:val="19"/>
        <w:spacing w:before="0" w:line="520" w:lineRule="exact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19"/>
        <w:spacing w:before="0" w:line="520" w:lineRule="exact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</w:p>
    <w:p>
      <w:pPr>
        <w:pStyle w:val="19"/>
        <w:spacing w:before="0" w:line="520" w:lineRule="exact"/>
        <w:jc w:val="center"/>
        <w:rPr>
          <w:rFonts w:hint="eastAsia" w:ascii="Times New Roman" w:hAnsi="Times New Roman" w:eastAsia="楷体" w:cs="Times New Roman"/>
          <w:snapToGrid/>
          <w:spacing w:val="0"/>
          <w:kern w:val="2"/>
          <w:sz w:val="28"/>
          <w:szCs w:val="28"/>
          <w:lang w:val="en-US" w:eastAsia="zh-CN" w:bidi="ar-SA"/>
        </w:rPr>
      </w:pPr>
    </w:p>
    <w:p>
      <w:pPr>
        <w:spacing w:line="320" w:lineRule="atLeast"/>
        <w:ind w:firstLine="482" w:firstLineChars="250"/>
        <w:jc w:val="left"/>
        <w:rPr>
          <w:spacing w:val="-10"/>
          <w:sz w:val="21"/>
        </w:rPr>
      </w:pPr>
    </w:p>
    <w:p>
      <w:pP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七、规划附图</w:t>
      </w:r>
    </w:p>
    <w:p>
      <w:pPr>
        <w:pStyle w:val="9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187960</wp:posOffset>
            </wp:positionV>
            <wp:extent cx="5271135" cy="3655060"/>
            <wp:effectExtent l="0" t="0" r="5715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</w:pP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文鼎中楷繁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B5EA"/>
    <w:multiLevelType w:val="singleLevel"/>
    <w:tmpl w:val="492BB5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MWYyNGE0NDU4NDM2OGFlZGZjNThlNTE0MmU1ZWYifQ=="/>
  </w:docVars>
  <w:rsids>
    <w:rsidRoot w:val="00172A27"/>
    <w:rsid w:val="00004F7D"/>
    <w:rsid w:val="000B1FA3"/>
    <w:rsid w:val="000C50CA"/>
    <w:rsid w:val="00172A27"/>
    <w:rsid w:val="00172BF4"/>
    <w:rsid w:val="001A6E1A"/>
    <w:rsid w:val="0025522B"/>
    <w:rsid w:val="00261DA5"/>
    <w:rsid w:val="00281263"/>
    <w:rsid w:val="004125B8"/>
    <w:rsid w:val="0044645C"/>
    <w:rsid w:val="00450EAE"/>
    <w:rsid w:val="00582B6A"/>
    <w:rsid w:val="005F0D58"/>
    <w:rsid w:val="006F494B"/>
    <w:rsid w:val="007B1611"/>
    <w:rsid w:val="007C47EA"/>
    <w:rsid w:val="007E4D78"/>
    <w:rsid w:val="007F0E91"/>
    <w:rsid w:val="0084494B"/>
    <w:rsid w:val="008930A3"/>
    <w:rsid w:val="0096530B"/>
    <w:rsid w:val="009664EA"/>
    <w:rsid w:val="00973824"/>
    <w:rsid w:val="00996115"/>
    <w:rsid w:val="009C15B8"/>
    <w:rsid w:val="00AC1D60"/>
    <w:rsid w:val="00B4319F"/>
    <w:rsid w:val="00BC4135"/>
    <w:rsid w:val="00CC70A3"/>
    <w:rsid w:val="00D320DB"/>
    <w:rsid w:val="00DB50C8"/>
    <w:rsid w:val="00DF0322"/>
    <w:rsid w:val="00F95C51"/>
    <w:rsid w:val="00FE0600"/>
    <w:rsid w:val="067175EA"/>
    <w:rsid w:val="09AA0FBF"/>
    <w:rsid w:val="0BB22D84"/>
    <w:rsid w:val="114919C2"/>
    <w:rsid w:val="11BE7239"/>
    <w:rsid w:val="12B26E09"/>
    <w:rsid w:val="15340579"/>
    <w:rsid w:val="16526560"/>
    <w:rsid w:val="19534A56"/>
    <w:rsid w:val="1B7715E3"/>
    <w:rsid w:val="1FB919B7"/>
    <w:rsid w:val="21385919"/>
    <w:rsid w:val="2527365F"/>
    <w:rsid w:val="25293485"/>
    <w:rsid w:val="25B357D8"/>
    <w:rsid w:val="26D25A4D"/>
    <w:rsid w:val="2928515D"/>
    <w:rsid w:val="2ABE0E2C"/>
    <w:rsid w:val="2EB26978"/>
    <w:rsid w:val="32BC60FE"/>
    <w:rsid w:val="33A127E5"/>
    <w:rsid w:val="34781DB4"/>
    <w:rsid w:val="3746084C"/>
    <w:rsid w:val="394B380F"/>
    <w:rsid w:val="3B1410A9"/>
    <w:rsid w:val="3C1C6552"/>
    <w:rsid w:val="42B6587B"/>
    <w:rsid w:val="4518049C"/>
    <w:rsid w:val="45185ECC"/>
    <w:rsid w:val="45F577E1"/>
    <w:rsid w:val="47F05359"/>
    <w:rsid w:val="4DA07264"/>
    <w:rsid w:val="50477760"/>
    <w:rsid w:val="52387A54"/>
    <w:rsid w:val="53390841"/>
    <w:rsid w:val="53DA63DF"/>
    <w:rsid w:val="546721A6"/>
    <w:rsid w:val="58904B61"/>
    <w:rsid w:val="63A457ED"/>
    <w:rsid w:val="64F72B9E"/>
    <w:rsid w:val="6A51334D"/>
    <w:rsid w:val="6AA8061A"/>
    <w:rsid w:val="6C6F025D"/>
    <w:rsid w:val="6DE2039C"/>
    <w:rsid w:val="734524CE"/>
    <w:rsid w:val="7543472F"/>
    <w:rsid w:val="7B0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20" w:after="120"/>
      <w:outlineLvl w:val="2"/>
    </w:pPr>
    <w:rPr>
      <w:rFonts w:ascii="Arial Rounded MT Bold" w:hAnsi="Arial Rounded MT Bold" w:eastAsia="文鼎大标宋简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40" w:lineRule="auto"/>
      <w:ind w:firstLine="420"/>
    </w:pPr>
    <w:rPr>
      <w:rFonts w:eastAsia="文鼎中楷繁"/>
      <w:sz w:val="18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9">
    <w:name w:val="Title"/>
    <w:basedOn w:val="1"/>
    <w:next w:val="3"/>
    <w:qFormat/>
    <w:uiPriority w:val="0"/>
    <w:pPr>
      <w:spacing w:before="240" w:after="60" w:line="500" w:lineRule="exact"/>
      <w:ind w:firstLine="200" w:firstLineChars="200"/>
      <w:jc w:val="center"/>
      <w:outlineLvl w:val="0"/>
    </w:pPr>
    <w:rPr>
      <w:rFonts w:ascii="Arial" w:hAnsi="Arial" w:eastAsia="宋体"/>
      <w:b/>
      <w:bCs/>
      <w:kern w:val="2"/>
      <w:szCs w:val="32"/>
    </w:rPr>
  </w:style>
  <w:style w:type="character" w:customStyle="1" w:styleId="12">
    <w:name w:val="日期 Char"/>
    <w:basedOn w:val="10"/>
    <w:link w:val="4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表头"/>
    <w:basedOn w:val="1"/>
    <w:qFormat/>
    <w:uiPriority w:val="0"/>
    <w:pPr>
      <w:snapToGrid w:val="0"/>
      <w:spacing w:line="320" w:lineRule="atLeast"/>
      <w:ind w:firstLine="0"/>
      <w:jc w:val="center"/>
    </w:pPr>
    <w:rPr>
      <w:rFonts w:eastAsia="黑体"/>
      <w:spacing w:val="-10"/>
      <w:sz w:val="21"/>
    </w:rPr>
  </w:style>
  <w:style w:type="paragraph" w:customStyle="1" w:styleId="18">
    <w:name w:val="表蕊"/>
    <w:basedOn w:val="1"/>
    <w:qFormat/>
    <w:uiPriority w:val="0"/>
    <w:pPr>
      <w:spacing w:line="320" w:lineRule="atLeast"/>
      <w:ind w:firstLine="0"/>
      <w:jc w:val="left"/>
    </w:pPr>
    <w:rPr>
      <w:spacing w:val="-10"/>
      <w:sz w:val="21"/>
    </w:rPr>
  </w:style>
  <w:style w:type="paragraph" w:customStyle="1" w:styleId="19">
    <w:name w:val="表格标题"/>
    <w:basedOn w:val="1"/>
    <w:qFormat/>
    <w:uiPriority w:val="0"/>
    <w:pPr>
      <w:autoSpaceDE/>
      <w:autoSpaceDN/>
      <w:adjustRightInd w:val="0"/>
      <w:snapToGrid/>
      <w:spacing w:before="120" w:line="400" w:lineRule="exact"/>
      <w:ind w:firstLine="0"/>
      <w:jc w:val="center"/>
      <w:textAlignment w:val="baseline"/>
    </w:pPr>
    <w:rPr>
      <w:rFonts w:eastAsia="文鼎CS中宋"/>
      <w:snapToGrid/>
      <w:spacing w:val="8"/>
      <w:sz w:val="24"/>
    </w:rPr>
  </w:style>
  <w:style w:type="character" w:customStyle="1" w:styleId="20">
    <w:name w:val="样式 非加宽量 / 紧缩量"/>
    <w:qFormat/>
    <w:uiPriority w:val="0"/>
    <w:rPr>
      <w:rFonts w:eastAsia="楷体_GB2312"/>
      <w:spacing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3F6F2-7B7F-4A7D-B952-AF1749F55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Win7x64纯净版</Company>
  <Pages>11</Pages>
  <Words>3494</Words>
  <Characters>4365</Characters>
  <Lines>22</Lines>
  <Paragraphs>6</Paragraphs>
  <ScaleCrop>false</ScaleCrop>
  <LinksUpToDate>false</LinksUpToDate>
  <CharactersWithSpaces>4373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2018-10-15T11:57:00Z</dcterms:created>
  <dc:creator>李</dc:creator>
  <cp:lastModifiedBy>Administrator</cp:lastModifiedBy>
  <dcterms:modified xsi:type="dcterms:W3CDTF">2024-04-28T10:54:50Z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CD2E434054204F53A818F2F9848C5191_13</vt:lpwstr>
  </property>
</Properties>
</file>