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0" w:leftChars="0" w:right="-291" w:rightChars="-91" w:firstLine="0" w:firstLineChars="0"/>
        <w:jc w:val="both"/>
        <w:rPr>
          <w:rFonts w:ascii="华文中宋" w:hAnsi="华文中宋" w:eastAsia="华文中宋" w:cs="Times New Roman"/>
          <w:b/>
          <w:color w:val="FF0000"/>
          <w:spacing w:val="-8"/>
          <w:w w:val="50"/>
          <w:kern w:val="6"/>
          <w:sz w:val="144"/>
          <w:szCs w:val="144"/>
          <w:lang w:val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color w:val="FF0000"/>
          <w:spacing w:val="-8"/>
          <w:w w:val="50"/>
          <w:kern w:val="6"/>
          <w:sz w:val="144"/>
          <w:szCs w:val="144"/>
          <w:lang w:val="zh-CN"/>
        </w:rPr>
        <w:t>淮安市洪泽区人民政府文件</w:t>
      </w:r>
    </w:p>
    <w:p>
      <w:pPr>
        <w:autoSpaceDE w:val="0"/>
        <w:autoSpaceDN w:val="0"/>
        <w:adjustRightInd w:val="0"/>
        <w:spacing w:line="680" w:lineRule="exact"/>
        <w:jc w:val="center"/>
        <w:rPr>
          <w:rFonts w:hint="eastAsia"/>
        </w:rPr>
      </w:pPr>
      <w:r>
        <w:rPr>
          <w:rFonts w:hint="eastAsia" w:ascii="宋体" w:hAnsi="Times New Roman" w:eastAsia="宋体" w:cs="Times New Roman"/>
          <w:kern w:val="0"/>
          <w:sz w:val="34"/>
          <w:szCs w:val="3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104775</wp:posOffset>
                </wp:positionV>
                <wp:extent cx="5457190" cy="635"/>
                <wp:effectExtent l="0" t="13970" r="1016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19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8.25pt;height:0.05pt;width:429.7pt;z-index:251659264;mso-width-relative:page;mso-height-relative:page;" filled="f" stroked="t" coordsize="21600,21600" o:gfxdata="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hrxO1AAAAAcBAAAPAAAAAAAAAAEAIAAAACIAAABkcnMvZG93bnJldi54&#10;bWxQSwECFAAUAAAACACHTuJAhYvZcv4BAAD1AwAADgAAAAAAAAABACAAAAAj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关于公布2024年度淮安市洪泽区人民政府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各镇</w:t>
      </w:r>
      <w:r>
        <w:rPr>
          <w:rFonts w:hint="eastAsia" w:ascii="方正仿宋_GBK" w:hAnsi="方正仿宋_GBK" w:eastAsia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</w:rPr>
        <w:t>街道</w:t>
      </w:r>
      <w:r>
        <w:rPr>
          <w:rFonts w:hint="eastAsia" w:ascii="方正仿宋_GBK" w:hAnsi="方正仿宋_GBK" w:eastAsia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人民政府</w:t>
      </w:r>
      <w:r>
        <w:rPr>
          <w:rFonts w:hint="eastAsia" w:ascii="方正仿宋_GBK" w:hAnsi="方正仿宋_GBK" w:eastAsia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</w:rPr>
        <w:t>办事处</w:t>
      </w:r>
      <w:r>
        <w:rPr>
          <w:rFonts w:hint="eastAsia" w:ascii="方正仿宋_GBK" w:hAnsi="方正仿宋_GBK" w:eastAsia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，区各委办局，区各直属单位：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进一步</w:t>
      </w:r>
      <w:r>
        <w:rPr>
          <w:rFonts w:hint="eastAsia" w:ascii="方正仿宋_GBK" w:hAnsi="方正仿宋_GBK" w:eastAsia="方正仿宋_GBK" w:cs="方正仿宋_GBK"/>
        </w:rPr>
        <w:t>规范区政府重大行政决策行为，促进依法、科学、民主决策，根据国务院《重大行政决策程序暂行条例》《江苏省重大行政决策程序实施办法》有关规定，《202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年度淮安市洪泽区政府重大行政决策事项目录》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</w:rPr>
        <w:t>经区政府十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</w:rPr>
        <w:t>届第</w:t>
      </w:r>
      <w:r>
        <w:rPr>
          <w:rFonts w:hint="eastAsia" w:ascii="方正仿宋_GBK" w:hAnsi="方正仿宋_GBK" w:cs="方正仿宋_GBK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</w:rPr>
        <w:t>次常务会议审议通过，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并报</w:t>
      </w:r>
      <w:r>
        <w:rPr>
          <w:rFonts w:hint="eastAsia" w:ascii="方正仿宋_GBK" w:hAnsi="方正仿宋_GBK" w:eastAsia="方正仿宋_GBK" w:cs="方正仿宋_GBK"/>
        </w:rPr>
        <w:t>区委同意，现予以公布。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　　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淮安市洪泽区人民政府办公室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年度淮安市洪泽区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1"/>
        <w:gridCol w:w="8145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3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方正仿宋_GBK" w:hAnsi="方正仿宋_GBK" w:cs="方正仿宋_GBK"/>
                <w:sz w:val="32"/>
                <w:szCs w:val="32"/>
                <w:vertAlign w:val="baseline"/>
                <w:lang w:val="en-US" w:eastAsia="zh-CN"/>
              </w:rPr>
              <w:t>优化群众出行条件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》</w:t>
            </w:r>
          </w:p>
        </w:tc>
        <w:tc>
          <w:tcPr>
            <w:tcW w:w="3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区</w:t>
            </w:r>
            <w:r>
              <w:rPr>
                <w:rFonts w:hint="eastAsia" w:ascii="方正仿宋_GBK" w:hAnsi="方正仿宋_GBK" w:cs="方正仿宋_GBK"/>
                <w:sz w:val="32"/>
                <w:szCs w:val="32"/>
                <w:vertAlign w:val="baseline"/>
                <w:lang w:val="en-US" w:eastAsia="zh-CN"/>
              </w:rPr>
              <w:t>住建局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tabs>
          <w:tab w:val="left" w:pos="425"/>
        </w:tabs>
        <w:spacing w:line="500" w:lineRule="exact"/>
        <w:ind w:firstLine="0"/>
        <w:rPr>
          <w:sz w:val="28"/>
          <w:szCs w:val="28"/>
        </w:rPr>
      </w:pPr>
      <w:r>
        <w:rPr>
          <w:rFonts w:hint="eastAsia" w:hAnsi="方正仿宋_GBK" w:cs="方正仿宋_GBK"/>
          <w:color w:val="000000"/>
          <w:sz w:val="28"/>
          <w:szCs w:val="28"/>
        </w:rPr>
        <w:t xml:space="preserve"> 淮安市洪泽区人民政府办公室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202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日印</w:t>
      </w:r>
      <w:r>
        <w:rPr>
          <w:rFonts w:hint="eastAsia" w:hAnsi="方正仿宋_GBK" w:cs="方正仿宋_GBK"/>
          <w:color w:val="000000"/>
          <w:sz w:val="28"/>
          <w:szCs w:val="28"/>
        </w:rPr>
        <w:t>发</w:t>
      </w:r>
    </w:p>
    <w:sectPr>
      <w:pgSz w:w="11906" w:h="16838"/>
      <w:pgMar w:top="2098" w:right="1474" w:bottom="147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9ADF8AC-7C1B-43E4-B4AB-AD6CDB16661A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A8C2459-223E-47E4-86E1-EFA2701B3C5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72B93F6-DA1E-4D39-833A-BDAEE8A0F73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53CE4A-A4F2-4DFC-8664-134F6729BC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OGJiYTA4OTQ5YTRmYzNlZmNlYWM4MzQ4NmRiMzgifQ=="/>
  </w:docVars>
  <w:rsids>
    <w:rsidRoot w:val="00000000"/>
    <w:rsid w:val="0147196B"/>
    <w:rsid w:val="05B75619"/>
    <w:rsid w:val="136F48F5"/>
    <w:rsid w:val="14D75207"/>
    <w:rsid w:val="1F1C47FF"/>
    <w:rsid w:val="21283736"/>
    <w:rsid w:val="294674A2"/>
    <w:rsid w:val="2D765922"/>
    <w:rsid w:val="32F842D3"/>
    <w:rsid w:val="3DD75419"/>
    <w:rsid w:val="45FB3DC9"/>
    <w:rsid w:val="487675DC"/>
    <w:rsid w:val="58DF1382"/>
    <w:rsid w:val="59160E83"/>
    <w:rsid w:val="5B323DE8"/>
    <w:rsid w:val="5B465305"/>
    <w:rsid w:val="5B7F6086"/>
    <w:rsid w:val="5FDA57C8"/>
    <w:rsid w:val="6F544BBE"/>
    <w:rsid w:val="717D5450"/>
    <w:rsid w:val="77115F62"/>
    <w:rsid w:val="792B1322"/>
    <w:rsid w:val="79B75B81"/>
    <w:rsid w:val="7A9844C6"/>
    <w:rsid w:val="7B743B9D"/>
    <w:rsid w:val="7CA30E21"/>
    <w:rsid w:val="7D3C3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tabs>
        <w:tab w:val="left" w:pos="425"/>
      </w:tabs>
    </w:pPr>
    <w:rPr>
      <w:rFonts w:ascii="宋体" w:hAnsi="宋体" w:eastAsia="宋体"/>
      <w:color w:val="FF0000"/>
      <w:sz w:val="28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293</Characters>
  <Lines>0</Lines>
  <Paragraphs>0</Paragraphs>
  <TotalTime>0</TotalTime>
  <ScaleCrop>false</ScaleCrop>
  <LinksUpToDate>false</LinksUpToDate>
  <CharactersWithSpaces>373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2020-02-04T00:58:00Z</dcterms:created>
  <dc:creator>Ocean</dc:creator>
  <cp:lastModifiedBy>猛然回首</cp:lastModifiedBy>
  <cp:lastPrinted>2022-04-07T02:46:02Z</cp:lastPrinted>
  <dcterms:modified xsi:type="dcterms:W3CDTF">2024-05-22T02:50:07Z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FDA0F3771A174DB3B269D8DCCE6E8055_13</vt:lpwstr>
  </property>
</Properties>
</file>