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0655E">
      <w:pPr>
        <w:keepNext/>
        <w:snapToGrid w:val="0"/>
        <w:spacing w:line="360" w:lineRule="auto"/>
        <w:jc w:val="center"/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</w:pPr>
      <w:bookmarkStart w:id="0" w:name="OLE_LINK3"/>
      <w:bookmarkStart w:id="1" w:name="OLE_LINK9"/>
      <w:bookmarkStart w:id="2" w:name="OLE_LINK10"/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淮安市洪泽区财政专户间隙资金定期存放项目</w:t>
      </w:r>
    </w:p>
    <w:p w14:paraId="5BE71A10">
      <w:pPr>
        <w:keepNext/>
        <w:snapToGrid w:val="0"/>
        <w:spacing w:line="360" w:lineRule="auto"/>
        <w:jc w:val="center"/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招标公告（2025年第3期）</w:t>
      </w:r>
    </w:p>
    <w:p w14:paraId="04510C20">
      <w:pPr>
        <w:keepNext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受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淮安市洪泽区财政局</w:t>
      </w:r>
      <w:r>
        <w:rPr>
          <w:rFonts w:hint="eastAsia" w:ascii="仿宋" w:hAnsi="仿宋" w:eastAsia="仿宋" w:cs="仿宋"/>
          <w:bCs/>
          <w:sz w:val="28"/>
          <w:szCs w:val="28"/>
        </w:rPr>
        <w:t>的委托，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江苏神州项目管理有限公司</w:t>
      </w:r>
      <w:r>
        <w:rPr>
          <w:rFonts w:hint="eastAsia" w:ascii="仿宋" w:hAnsi="仿宋" w:eastAsia="仿宋" w:cs="仿宋"/>
          <w:bCs/>
          <w:sz w:val="28"/>
          <w:szCs w:val="28"/>
        </w:rPr>
        <w:t>就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淮安市洪泽区财政专户间隙资金定期存放项目（2025年第3期）</w:t>
      </w:r>
      <w:r>
        <w:rPr>
          <w:rFonts w:hint="eastAsia" w:ascii="仿宋" w:hAnsi="仿宋" w:eastAsia="仿宋" w:cs="仿宋"/>
          <w:bCs/>
          <w:sz w:val="28"/>
          <w:szCs w:val="28"/>
        </w:rPr>
        <w:t>进行公开招标采购，现邀请符合条件的投标人参加投标。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BD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E740856">
            <w:pPr>
              <w:keepNext/>
              <w:snapToGrid w:val="0"/>
              <w:spacing w:line="36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项目概况</w:t>
            </w:r>
          </w:p>
          <w:p w14:paraId="47324FD1">
            <w:pPr>
              <w:keepNext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eastAsia="zh-CN"/>
              </w:rPr>
              <w:t>淮安市洪泽区财政专户间隙资金定期存放项目（2025年第3期）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的潜在投标人应在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招标代理处报名获取招标文件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，并于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eastAsia="zh-CN"/>
              </w:rPr>
              <w:t>2025年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eastAsia="zh-CN"/>
              </w:rPr>
              <w:t>点00分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（北京时间）前递交投标文件。</w:t>
            </w:r>
          </w:p>
        </w:tc>
      </w:tr>
    </w:tbl>
    <w:p w14:paraId="190F6B5C">
      <w:pPr>
        <w:keepNext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bookmarkStart w:id="3" w:name="_Toc31238"/>
      <w:bookmarkStart w:id="4" w:name="_Toc11972"/>
      <w:bookmarkStart w:id="5" w:name="_Toc21761"/>
      <w:r>
        <w:rPr>
          <w:rFonts w:hint="eastAsia" w:ascii="仿宋" w:hAnsi="仿宋" w:eastAsia="仿宋" w:cs="仿宋"/>
          <w:b/>
          <w:sz w:val="28"/>
          <w:szCs w:val="28"/>
        </w:rPr>
        <w:t>一、项目基本情况</w:t>
      </w:r>
      <w:bookmarkEnd w:id="3"/>
      <w:bookmarkEnd w:id="4"/>
      <w:bookmarkEnd w:id="5"/>
    </w:p>
    <w:p w14:paraId="0BA606AA">
      <w:pPr>
        <w:keepNext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项目编号：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HZDLCG-20250814-SZ01</w:t>
      </w:r>
    </w:p>
    <w:p w14:paraId="182FAFEE">
      <w:pPr>
        <w:keepNext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项目名称：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淮安市洪泽区财政专户间隙资金定期存放项目（2025年第3期）</w:t>
      </w:r>
    </w:p>
    <w:p w14:paraId="56EA2807">
      <w:pPr>
        <w:keepNext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6" w:name="_Toc29241"/>
      <w:bookmarkStart w:id="7" w:name="_Toc32663"/>
      <w:bookmarkStart w:id="8" w:name="_Toc30054"/>
      <w:r>
        <w:rPr>
          <w:rFonts w:hint="eastAsia" w:ascii="仿宋" w:hAnsi="仿宋" w:eastAsia="仿宋" w:cs="仿宋"/>
          <w:sz w:val="28"/>
          <w:szCs w:val="28"/>
          <w:lang w:eastAsia="zh-CN"/>
        </w:rPr>
        <w:t>采购方式：公开招标</w:t>
      </w:r>
    </w:p>
    <w:p w14:paraId="4A3314FF">
      <w:pPr>
        <w:keepNext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存放金额：设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个标段，其中第一标段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亿元，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洪泽区范围内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各国有商业银行、政策性银行、股份制商业银行承接，分别存款7500万元、6500万元、5000万元、4000万元、3000万元、2000万元、1500万元、1000万元；</w:t>
      </w:r>
    </w:p>
    <w:p w14:paraId="4647F53C">
      <w:pPr>
        <w:keepNext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第二标段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0.2</w:t>
      </w:r>
      <w:r>
        <w:rPr>
          <w:rFonts w:hint="eastAsia" w:ascii="仿宋" w:hAnsi="仿宋" w:eastAsia="仿宋" w:cs="仿宋"/>
          <w:sz w:val="28"/>
          <w:szCs w:val="28"/>
        </w:rPr>
        <w:t>亿元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淮安市内洪泽区范围外（在洪泽无支行）各股份制商业银行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承接，分别存款800万元、700万元、500万元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ED19066">
      <w:pPr>
        <w:keepNext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采购需求：财政专户间隙资金存放，存放方式为定期存单或大额存单。具体详见招标文件第一章第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部分。</w:t>
      </w:r>
    </w:p>
    <w:tbl>
      <w:tblPr>
        <w:tblStyle w:val="4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3953"/>
        <w:gridCol w:w="2286"/>
      </w:tblGrid>
      <w:tr w14:paraId="48B9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9" w:type="dxa"/>
            <w:noWrap w:val="0"/>
            <w:vAlign w:val="center"/>
          </w:tcPr>
          <w:p w14:paraId="74BBA4BE">
            <w:pPr>
              <w:keepNext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标段号</w:t>
            </w:r>
          </w:p>
        </w:tc>
        <w:tc>
          <w:tcPr>
            <w:tcW w:w="3953" w:type="dxa"/>
            <w:noWrap w:val="0"/>
            <w:vAlign w:val="center"/>
          </w:tcPr>
          <w:p w14:paraId="47895EBA">
            <w:pPr>
              <w:keepNext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主要内容</w:t>
            </w:r>
          </w:p>
        </w:tc>
        <w:tc>
          <w:tcPr>
            <w:tcW w:w="2286" w:type="dxa"/>
            <w:noWrap w:val="0"/>
            <w:vAlign w:val="center"/>
          </w:tcPr>
          <w:p w14:paraId="38B8461D">
            <w:pPr>
              <w:keepNext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选择数量</w:t>
            </w:r>
          </w:p>
        </w:tc>
      </w:tr>
      <w:tr w14:paraId="5615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89" w:type="dxa"/>
            <w:noWrap w:val="0"/>
            <w:vAlign w:val="center"/>
          </w:tcPr>
          <w:p w14:paraId="441CE325">
            <w:pPr>
              <w:keepNext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第一标段</w:t>
            </w:r>
          </w:p>
        </w:tc>
        <w:tc>
          <w:tcPr>
            <w:tcW w:w="3953" w:type="dxa"/>
            <w:noWrap w:val="0"/>
            <w:vAlign w:val="center"/>
          </w:tcPr>
          <w:p w14:paraId="36F4EABE">
            <w:pPr>
              <w:keepNext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财政专户间隙资金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存放银行</w:t>
            </w:r>
          </w:p>
        </w:tc>
        <w:tc>
          <w:tcPr>
            <w:tcW w:w="2286" w:type="dxa"/>
            <w:noWrap w:val="0"/>
            <w:vAlign w:val="center"/>
          </w:tcPr>
          <w:p w14:paraId="054C4FA1">
            <w:pPr>
              <w:keepNext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≤8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</w:t>
            </w:r>
          </w:p>
        </w:tc>
      </w:tr>
      <w:tr w14:paraId="6874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89" w:type="dxa"/>
            <w:noWrap w:val="0"/>
            <w:vAlign w:val="center"/>
          </w:tcPr>
          <w:p w14:paraId="6F0D93FF">
            <w:pPr>
              <w:keepNext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第二标段</w:t>
            </w:r>
          </w:p>
        </w:tc>
        <w:tc>
          <w:tcPr>
            <w:tcW w:w="3953" w:type="dxa"/>
            <w:noWrap w:val="0"/>
            <w:vAlign w:val="center"/>
          </w:tcPr>
          <w:p w14:paraId="16D50B0E">
            <w:pPr>
              <w:keepNext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财政专户间隙资金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存放银行</w:t>
            </w:r>
          </w:p>
        </w:tc>
        <w:tc>
          <w:tcPr>
            <w:tcW w:w="2286" w:type="dxa"/>
            <w:noWrap w:val="0"/>
            <w:vAlign w:val="center"/>
          </w:tcPr>
          <w:p w14:paraId="21ACCF9D">
            <w:pPr>
              <w:keepNext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</w:t>
            </w:r>
          </w:p>
        </w:tc>
      </w:tr>
    </w:tbl>
    <w:p w14:paraId="5DBF7CA6">
      <w:pPr>
        <w:keepNext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合同履行期限：</w:t>
      </w:r>
      <w:r>
        <w:rPr>
          <w:rFonts w:hint="eastAsia" w:ascii="仿宋" w:hAnsi="仿宋" w:eastAsia="仿宋" w:cs="仿宋"/>
          <w:bCs/>
          <w:sz w:val="28"/>
          <w:szCs w:val="28"/>
        </w:rPr>
        <w:t>一年</w:t>
      </w:r>
    </w:p>
    <w:p w14:paraId="1935D6EF">
      <w:pPr>
        <w:keepNext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本项目不接受联合体投标。</w:t>
      </w:r>
    </w:p>
    <w:p w14:paraId="5518E6E3">
      <w:pPr>
        <w:keepNext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二、申请人的资格要求</w:t>
      </w:r>
      <w:bookmarkEnd w:id="6"/>
      <w:bookmarkEnd w:id="7"/>
      <w:bookmarkEnd w:id="8"/>
    </w:p>
    <w:p w14:paraId="62F38518">
      <w:pPr>
        <w:keepNext/>
        <w:snapToGrid w:val="0"/>
        <w:spacing w:line="360" w:lineRule="auto"/>
        <w:ind w:firstLine="560" w:firstLineChars="200"/>
        <w:rPr>
          <w:rFonts w:hint="eastAsia" w:ascii="仿宋" w:eastAsia="仿宋" w:cs="仿宋"/>
          <w:b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（一）符合《中华人民共和国政府采购法》第二十二条规定的条件：</w:t>
      </w:r>
    </w:p>
    <w:p w14:paraId="087C5924">
      <w:pPr>
        <w:keepNext/>
        <w:snapToGrid w:val="0"/>
        <w:spacing w:line="360" w:lineRule="auto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1、具有独立承担民事责任的能力；</w:t>
      </w:r>
    </w:p>
    <w:p w14:paraId="2EC8E15B">
      <w:pPr>
        <w:keepNext/>
        <w:snapToGrid w:val="0"/>
        <w:spacing w:line="360" w:lineRule="auto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2、具有良好的商业信誉和健全的财务会计制度；</w:t>
      </w:r>
    </w:p>
    <w:p w14:paraId="66366CA7">
      <w:pPr>
        <w:keepNext/>
        <w:snapToGrid w:val="0"/>
        <w:spacing w:line="360" w:lineRule="auto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3、具有履行合同所必需的设备和专业技术能力；</w:t>
      </w:r>
    </w:p>
    <w:p w14:paraId="008ED2DA">
      <w:pPr>
        <w:keepNext/>
        <w:snapToGrid w:val="0"/>
        <w:spacing w:line="360" w:lineRule="auto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4、有依法缴纳税收和社会保障资金的良好记录；</w:t>
      </w:r>
    </w:p>
    <w:p w14:paraId="4DBACFE5">
      <w:pPr>
        <w:keepNext/>
        <w:snapToGrid w:val="0"/>
        <w:spacing w:line="360" w:lineRule="auto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5、参加政府采购活动前三年内，在经营活动中没有重大违法记录；</w:t>
      </w:r>
    </w:p>
    <w:p w14:paraId="7B42D896">
      <w:pPr>
        <w:keepNext/>
        <w:snapToGrid w:val="0"/>
        <w:spacing w:line="360" w:lineRule="auto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6、法律、行政法规规定的其他条件。</w:t>
      </w:r>
    </w:p>
    <w:p w14:paraId="5963F13D">
      <w:pPr>
        <w:keepNext/>
        <w:snapToGrid w:val="0"/>
        <w:spacing w:line="360" w:lineRule="auto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（二）落实政府采购政策需满足的资格要求：无。</w:t>
      </w:r>
    </w:p>
    <w:p w14:paraId="5470164B">
      <w:pPr>
        <w:pStyle w:val="6"/>
        <w:keepNext/>
        <w:widowControl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（三）本项目的特定资格要求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：    </w:t>
      </w:r>
    </w:p>
    <w:p w14:paraId="67A989DA">
      <w:pPr>
        <w:keepNext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9" w:name="_Toc5596"/>
      <w:bookmarkStart w:id="10" w:name="_Toc30366"/>
      <w:bookmarkStart w:id="11" w:name="_Toc15145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1、第一标段：投标人为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洪泽区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范围内各国有商业银行、政策性银行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、股份制商业银行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；</w:t>
      </w:r>
    </w:p>
    <w:p w14:paraId="685358E8">
      <w:pPr>
        <w:keepNext/>
        <w:snapToGrid w:val="0"/>
        <w:spacing w:line="360" w:lineRule="auto"/>
        <w:ind w:firstLine="843" w:firstLineChars="30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第二标段：投标人为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淮安市内洪泽区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范围外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（在洪泽无支行）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各股份制商业银行。</w:t>
      </w:r>
    </w:p>
    <w:p w14:paraId="11CBF79F">
      <w:pPr>
        <w:keepNext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2、投标人具有中国银行业监督委员会核发的《金融机构法人许可证》或《金融机构营业许可证》（证明材料复印件并加盖投标人公章装入投标文件中）</w:t>
      </w:r>
    </w:p>
    <w:p w14:paraId="12F315D7">
      <w:pPr>
        <w:keepNext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eastAsia="仿宋" w:cs="仿宋"/>
          <w:bCs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eastAsia="仿宋" w:cs="仿宋"/>
          <w:bCs/>
          <w:sz w:val="28"/>
          <w:szCs w:val="28"/>
          <w:highlight w:val="none"/>
        </w:rPr>
        <w:t>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提供“未被监管部门提示发生重大风险事项”的声明函。</w:t>
      </w:r>
    </w:p>
    <w:p w14:paraId="128FEE40">
      <w:pPr>
        <w:keepNext/>
        <w:adjustRightInd w:val="0"/>
        <w:snapToGrid w:val="0"/>
        <w:spacing w:line="360" w:lineRule="auto"/>
        <w:ind w:firstLine="560" w:firstLineChars="200"/>
        <w:rPr>
          <w:rFonts w:hint="eastAsia" w:ascii="仿宋" w:eastAsia="仿宋" w:cs="仿宋"/>
          <w:bCs/>
          <w:sz w:val="28"/>
          <w:szCs w:val="28"/>
        </w:rPr>
      </w:pPr>
      <w:r>
        <w:rPr>
          <w:rFonts w:hint="eastAsia" w:ascii="仿宋" w:eastAsia="仿宋" w:cs="仿宋"/>
          <w:bCs/>
          <w:sz w:val="28"/>
          <w:szCs w:val="28"/>
        </w:rPr>
        <w:t>（四）拒绝下述条件的投标人参加本次采购活动：</w:t>
      </w:r>
    </w:p>
    <w:p w14:paraId="42B40362">
      <w:pPr>
        <w:keepNext/>
        <w:adjustRightInd w:val="0"/>
        <w:snapToGrid w:val="0"/>
        <w:spacing w:line="360" w:lineRule="auto"/>
        <w:ind w:firstLine="560" w:firstLineChars="200"/>
        <w:rPr>
          <w:rFonts w:hint="eastAsia" w:ascii="仿宋" w:eastAsia="仿宋" w:cs="仿宋"/>
          <w:bCs/>
          <w:sz w:val="28"/>
          <w:szCs w:val="28"/>
        </w:rPr>
      </w:pPr>
      <w:r>
        <w:rPr>
          <w:rFonts w:hint="eastAsia" w:ascii="仿宋" w:eastAsia="仿宋" w:cs="仿宋"/>
          <w:bCs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投标人</w:t>
      </w:r>
      <w:r>
        <w:rPr>
          <w:rFonts w:hint="eastAsia" w:ascii="仿宋" w:eastAsia="仿宋" w:cs="仿宋"/>
          <w:bCs/>
          <w:sz w:val="28"/>
          <w:szCs w:val="28"/>
        </w:rPr>
        <w:t>单位负责人为同一人或者存在直接控股、管理关系的不同</w:t>
      </w:r>
      <w:r>
        <w:rPr>
          <w:rFonts w:hint="eastAsia" w:ascii="仿宋" w:hAnsi="仿宋" w:eastAsia="仿宋" w:cs="仿宋"/>
          <w:sz w:val="28"/>
          <w:szCs w:val="28"/>
        </w:rPr>
        <w:t>投标人</w:t>
      </w:r>
      <w:r>
        <w:rPr>
          <w:rFonts w:hint="eastAsia" w:ascii="仿宋" w:eastAsia="仿宋" w:cs="仿宋"/>
          <w:bCs/>
          <w:sz w:val="28"/>
          <w:szCs w:val="28"/>
        </w:rPr>
        <w:t>，不得同时参加同一合同项下的政府采购活动；</w:t>
      </w:r>
    </w:p>
    <w:p w14:paraId="5D92DBD4">
      <w:pPr>
        <w:keepNext/>
        <w:adjustRightInd w:val="0"/>
        <w:snapToGrid w:val="0"/>
        <w:spacing w:line="360" w:lineRule="auto"/>
        <w:ind w:firstLine="560" w:firstLineChars="200"/>
        <w:rPr>
          <w:rFonts w:hint="eastAsia" w:ascii="仿宋" w:eastAsia="仿宋" w:cs="仿宋"/>
          <w:b/>
          <w:i/>
          <w:sz w:val="28"/>
          <w:szCs w:val="28"/>
        </w:rPr>
      </w:pPr>
      <w:r>
        <w:rPr>
          <w:rFonts w:hint="eastAsia" w:ascii="仿宋" w:eastAsia="仿宋" w:cs="仿宋"/>
          <w:bCs/>
          <w:sz w:val="28"/>
          <w:szCs w:val="28"/>
        </w:rPr>
        <w:t>2、凡为采购项目提供整体设计、规范编制或者项目管理、监理、检测等</w:t>
      </w:r>
      <w:r>
        <w:rPr>
          <w:rFonts w:hint="eastAsia" w:ascii="仿宋" w:eastAsia="仿宋" w:cs="仿宋"/>
          <w:sz w:val="28"/>
          <w:szCs w:val="28"/>
        </w:rPr>
        <w:t>服务的</w:t>
      </w:r>
      <w:r>
        <w:rPr>
          <w:rFonts w:hint="eastAsia" w:ascii="仿宋" w:hAnsi="仿宋" w:eastAsia="仿宋" w:cs="仿宋"/>
          <w:sz w:val="28"/>
          <w:szCs w:val="28"/>
        </w:rPr>
        <w:t>投标人</w:t>
      </w:r>
      <w:r>
        <w:rPr>
          <w:rFonts w:hint="eastAsia" w:ascii="仿宋" w:eastAsia="仿宋" w:cs="仿宋"/>
          <w:sz w:val="28"/>
          <w:szCs w:val="28"/>
        </w:rPr>
        <w:t>，不得再参加本项目的采购活动；</w:t>
      </w:r>
    </w:p>
    <w:p w14:paraId="698C8043">
      <w:pPr>
        <w:keepNext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投标人</w:t>
      </w:r>
      <w:r>
        <w:rPr>
          <w:rFonts w:hint="eastAsia" w:ascii="仿宋" w:eastAsia="仿宋" w:cs="仿宋"/>
          <w:sz w:val="28"/>
          <w:szCs w:val="28"/>
        </w:rPr>
        <w:t>被“信用中国”（www.creditchina.gov.cn）、“中国政府采购网”（www.ccgp.gov.cn）列入失信被执行人、重大税收违法案件当事人名单、政府采购严重违法失信行为记录名单。</w:t>
      </w:r>
    </w:p>
    <w:p w14:paraId="129B8498">
      <w:pPr>
        <w:keepNext/>
        <w:adjustRightInd w:val="0"/>
        <w:snapToGrid w:val="0"/>
        <w:spacing w:line="360" w:lineRule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12" w:name="_Toc13793"/>
      <w:r>
        <w:rPr>
          <w:rFonts w:hint="eastAsia" w:ascii="仿宋" w:hAnsi="仿宋" w:eastAsia="仿宋" w:cs="仿宋"/>
          <w:b/>
          <w:sz w:val="28"/>
          <w:szCs w:val="28"/>
        </w:rPr>
        <w:t>三、获取招标文件</w:t>
      </w:r>
      <w:bookmarkEnd w:id="9"/>
      <w:bookmarkEnd w:id="10"/>
      <w:bookmarkEnd w:id="11"/>
      <w:bookmarkEnd w:id="12"/>
    </w:p>
    <w:p w14:paraId="3BA18ED9">
      <w:pPr>
        <w:keepNext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报名时间：202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28"/>
          <w:szCs w:val="28"/>
        </w:rPr>
        <w:t>日-202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日，每天上午8:30至11:30，下午14:00至17:30（北京时间，法定节假日除外）</w:t>
      </w:r>
    </w:p>
    <w:p w14:paraId="2F013B88">
      <w:pPr>
        <w:keepNext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报名地点：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淮安市洪泽区中润武夷国际广场1号楼2108室江苏神州项目管理有限公司</w:t>
      </w:r>
    </w:p>
    <w:p w14:paraId="3C1674EB">
      <w:pPr>
        <w:keepNext/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报名联系人：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杨工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18052359676</w:t>
      </w:r>
    </w:p>
    <w:p w14:paraId="0D824B09">
      <w:pPr>
        <w:keepNext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报名方式：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现场或线上报名</w:t>
      </w:r>
      <w:r>
        <w:rPr>
          <w:rFonts w:hint="eastAsia" w:ascii="仿宋" w:hAnsi="仿宋" w:eastAsia="仿宋" w:cs="仿宋"/>
          <w:sz w:val="28"/>
          <w:szCs w:val="28"/>
        </w:rPr>
        <w:t>，请各投标人报名前先电话联系代理公司并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提供以下报名资料：</w:t>
      </w:r>
    </w:p>
    <w:p w14:paraId="72A284BE">
      <w:pPr>
        <w:keepNext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提供</w:t>
      </w:r>
      <w:r>
        <w:rPr>
          <w:rFonts w:hint="eastAsia" w:ascii="仿宋" w:hAnsi="仿宋" w:eastAsia="仿宋" w:cs="仿宋"/>
          <w:bCs/>
          <w:sz w:val="28"/>
          <w:szCs w:val="28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营业执照副本复印件加盖单位公章</w:t>
      </w:r>
      <w:r>
        <w:rPr>
          <w:rFonts w:hint="eastAsia" w:ascii="仿宋" w:hAnsi="仿宋" w:eastAsia="仿宋" w:cs="仿宋"/>
          <w:kern w:val="0"/>
          <w:sz w:val="28"/>
          <w:szCs w:val="28"/>
        </w:rPr>
        <w:t>;</w:t>
      </w:r>
    </w:p>
    <w:p w14:paraId="04507E48">
      <w:pPr>
        <w:keepNext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（2）提供</w:t>
      </w:r>
      <w:r>
        <w:rPr>
          <w:rFonts w:hint="eastAsia" w:ascii="仿宋" w:hAnsi="仿宋" w:eastAsia="仿宋" w:cs="仿宋"/>
          <w:sz w:val="28"/>
          <w:szCs w:val="28"/>
        </w:rPr>
        <w:t>法人资格证明或法定代表人授权委托书</w:t>
      </w:r>
      <w:r>
        <w:rPr>
          <w:rFonts w:hint="eastAsia" w:ascii="仿宋" w:hAnsi="仿宋" w:eastAsia="仿宋" w:cs="仿宋"/>
          <w:kern w:val="0"/>
          <w:sz w:val="28"/>
          <w:szCs w:val="28"/>
        </w:rPr>
        <w:t>（格式自拟</w:t>
      </w:r>
      <w:r>
        <w:rPr>
          <w:rFonts w:hint="eastAsia" w:ascii="仿宋" w:hAnsi="仿宋" w:eastAsia="仿宋" w:cs="仿宋"/>
          <w:sz w:val="28"/>
          <w:szCs w:val="28"/>
        </w:rPr>
        <w:t>加盖单位公章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及本人身份证复印件加盖单位公章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4A5A3F93">
      <w:pPr>
        <w:keepLines/>
        <w:adjustRightInd w:val="0"/>
        <w:snapToGrid w:val="0"/>
        <w:spacing w:line="360" w:lineRule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13" w:name="_Toc11842"/>
      <w:bookmarkStart w:id="14" w:name="_Toc5918"/>
      <w:bookmarkStart w:id="15" w:name="_Toc14937"/>
      <w:bookmarkStart w:id="16" w:name="_Toc24194"/>
      <w:r>
        <w:rPr>
          <w:rFonts w:hint="eastAsia" w:ascii="仿宋" w:hAnsi="仿宋" w:eastAsia="仿宋" w:cs="仿宋"/>
          <w:b/>
          <w:sz w:val="28"/>
          <w:szCs w:val="28"/>
        </w:rPr>
        <w:t>四、提交投标文件截止时间、开标时间和地点</w:t>
      </w:r>
      <w:bookmarkEnd w:id="13"/>
      <w:bookmarkEnd w:id="14"/>
      <w:bookmarkEnd w:id="15"/>
      <w:bookmarkEnd w:id="16"/>
      <w:bookmarkStart w:id="33" w:name="_GoBack"/>
      <w:bookmarkEnd w:id="33"/>
    </w:p>
    <w:p w14:paraId="36109412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开标时间：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点00分</w:t>
      </w:r>
      <w:r>
        <w:rPr>
          <w:rFonts w:hint="eastAsia" w:ascii="仿宋" w:hAnsi="仿宋" w:eastAsia="仿宋" w:cs="仿宋"/>
          <w:bCs/>
          <w:sz w:val="28"/>
          <w:szCs w:val="28"/>
        </w:rPr>
        <w:t>（北京时间）</w:t>
      </w:r>
    </w:p>
    <w:p w14:paraId="3C024D55">
      <w:pPr>
        <w:pStyle w:val="3"/>
        <w:keepLines/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文件递交</w:t>
      </w:r>
      <w:r>
        <w:rPr>
          <w:rFonts w:hint="eastAsia" w:ascii="仿宋" w:eastAsia="仿宋" w:cs="仿宋"/>
          <w:sz w:val="28"/>
          <w:szCs w:val="28"/>
        </w:rPr>
        <w:t>截止时间：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点00分</w:t>
      </w:r>
      <w:r>
        <w:rPr>
          <w:rFonts w:hint="eastAsia" w:ascii="仿宋" w:hAnsi="仿宋" w:eastAsia="仿宋" w:cs="仿宋"/>
          <w:bCs/>
          <w:sz w:val="28"/>
          <w:szCs w:val="28"/>
        </w:rPr>
        <w:t>（北京时间）</w:t>
      </w:r>
    </w:p>
    <w:p w14:paraId="59CF4489">
      <w:pPr>
        <w:pStyle w:val="3"/>
        <w:keepLines/>
        <w:spacing w:line="36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文件递交地点：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淮安市洪泽区中润武夷国际广场1号楼2108室（开标室）</w:t>
      </w:r>
    </w:p>
    <w:p w14:paraId="28E5FC7E">
      <w:pPr>
        <w:keepLines/>
        <w:overflowPunct w:val="0"/>
        <w:snapToGrid w:val="0"/>
        <w:spacing w:line="360" w:lineRule="auto"/>
        <w:ind w:firstLine="568" w:firstLineChars="202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【投标文件是指纸质密封文件一正四副】</w:t>
      </w:r>
    </w:p>
    <w:p w14:paraId="4D674FEF">
      <w:pPr>
        <w:keepLines/>
        <w:adjustRightInd w:val="0"/>
        <w:snapToGrid w:val="0"/>
        <w:spacing w:line="360" w:lineRule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17" w:name="_Toc14736"/>
      <w:bookmarkStart w:id="18" w:name="_Toc13428"/>
      <w:bookmarkStart w:id="19" w:name="_Toc29872"/>
      <w:bookmarkStart w:id="20" w:name="_Toc5051"/>
      <w:r>
        <w:rPr>
          <w:rFonts w:hint="eastAsia" w:ascii="仿宋" w:hAnsi="仿宋" w:eastAsia="仿宋" w:cs="仿宋"/>
          <w:b/>
          <w:sz w:val="28"/>
          <w:szCs w:val="28"/>
        </w:rPr>
        <w:t>五、公告期限</w:t>
      </w:r>
      <w:bookmarkEnd w:id="17"/>
      <w:bookmarkEnd w:id="18"/>
      <w:bookmarkEnd w:id="19"/>
      <w:bookmarkEnd w:id="20"/>
    </w:p>
    <w:p w14:paraId="1575D6C1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自本公告发布之日起5个工作日。</w:t>
      </w:r>
    </w:p>
    <w:p w14:paraId="6E9EFA23">
      <w:pPr>
        <w:keepLines/>
        <w:adjustRightInd w:val="0"/>
        <w:snapToGrid w:val="0"/>
        <w:spacing w:line="360" w:lineRule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21" w:name="_Toc12093"/>
      <w:bookmarkStart w:id="22" w:name="_Toc25094"/>
      <w:bookmarkStart w:id="23" w:name="_Toc23128"/>
      <w:bookmarkStart w:id="24" w:name="_Toc22129"/>
      <w:r>
        <w:rPr>
          <w:rFonts w:hint="eastAsia" w:ascii="仿宋" w:hAnsi="仿宋" w:eastAsia="仿宋" w:cs="仿宋"/>
          <w:b/>
          <w:sz w:val="28"/>
          <w:szCs w:val="28"/>
        </w:rPr>
        <w:t>六、其他补充事宜</w:t>
      </w:r>
      <w:bookmarkEnd w:id="21"/>
      <w:bookmarkEnd w:id="22"/>
      <w:bookmarkEnd w:id="23"/>
      <w:bookmarkEnd w:id="24"/>
    </w:p>
    <w:p w14:paraId="36151F56">
      <w:pPr>
        <w:keepLines/>
        <w:overflowPunct w:val="0"/>
        <w:snapToGrid w:val="0"/>
        <w:spacing w:line="360" w:lineRule="auto"/>
        <w:ind w:firstLine="565" w:firstLineChars="202"/>
        <w:rPr>
          <w:rFonts w:hint="eastAsia" w:ascii="仿宋" w:hAnsi="仿宋" w:eastAsia="仿宋" w:cs="仿宋"/>
          <w:bCs/>
          <w:sz w:val="28"/>
          <w:szCs w:val="28"/>
        </w:rPr>
      </w:pPr>
      <w:bookmarkStart w:id="25" w:name="_Toc12123"/>
      <w:bookmarkStart w:id="26" w:name="_Toc4600"/>
      <w:bookmarkStart w:id="27" w:name="_Toc22555"/>
      <w:r>
        <w:rPr>
          <w:rFonts w:hint="eastAsia" w:ascii="仿宋" w:hAnsi="仿宋" w:eastAsia="仿宋" w:cs="仿宋"/>
          <w:bCs/>
          <w:sz w:val="28"/>
          <w:szCs w:val="28"/>
        </w:rPr>
        <w:t>1、本项目分为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两</w:t>
      </w:r>
      <w:r>
        <w:rPr>
          <w:rFonts w:hint="eastAsia" w:ascii="仿宋" w:hAnsi="仿宋" w:eastAsia="仿宋" w:cs="仿宋"/>
          <w:bCs/>
          <w:sz w:val="28"/>
          <w:szCs w:val="28"/>
        </w:rPr>
        <w:t>个标段，投标人只能选择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两</w:t>
      </w:r>
      <w:r>
        <w:rPr>
          <w:rFonts w:hint="eastAsia" w:ascii="仿宋" w:hAnsi="仿宋" w:eastAsia="仿宋" w:cs="仿宋"/>
          <w:bCs/>
          <w:sz w:val="28"/>
          <w:szCs w:val="28"/>
        </w:rPr>
        <w:t>个标段其中之一进行投标。</w:t>
      </w:r>
    </w:p>
    <w:p w14:paraId="5247F90A">
      <w:pPr>
        <w:keepLines/>
        <w:overflowPunct w:val="0"/>
        <w:snapToGrid w:val="0"/>
        <w:spacing w:line="360" w:lineRule="auto"/>
        <w:ind w:firstLine="565" w:firstLineChars="202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2、本项目接受分支机构报名，但同一银行只能有一家所属分支机构参与投标。</w:t>
      </w:r>
    </w:p>
    <w:p w14:paraId="260B7D8A">
      <w:pPr>
        <w:keepLines/>
        <w:overflowPunct w:val="0"/>
        <w:snapToGrid w:val="0"/>
        <w:spacing w:line="360" w:lineRule="auto"/>
        <w:ind w:firstLine="565" w:firstLineChars="202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3、公告媒体：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淮安市洪泽区人民政府网（http://www.hongze.gov.cn/）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25B4AF2F">
      <w:pPr>
        <w:keepLines/>
        <w:overflowPunct w:val="0"/>
        <w:snapToGrid w:val="0"/>
        <w:spacing w:line="360" w:lineRule="auto"/>
        <w:ind w:firstLine="565" w:firstLineChars="202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特别提醒：若采购信息发生变动或修改，各投标人未连续登陆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淮安市洪泽区人民政府网（http://www.hongze.gov.cn/）</w:t>
      </w:r>
      <w:r>
        <w:rPr>
          <w:rFonts w:hint="eastAsia" w:ascii="仿宋" w:hAnsi="仿宋" w:eastAsia="仿宋" w:cs="仿宋"/>
          <w:bCs/>
          <w:sz w:val="28"/>
          <w:szCs w:val="28"/>
        </w:rPr>
        <w:t>查看采购信息的，采购人不承担任何责任。</w:t>
      </w:r>
    </w:p>
    <w:p w14:paraId="684DD0C4">
      <w:pPr>
        <w:keepLines/>
        <w:adjustRightInd w:val="0"/>
        <w:snapToGrid w:val="0"/>
        <w:spacing w:line="360" w:lineRule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28" w:name="_Toc17589"/>
      <w:r>
        <w:rPr>
          <w:rFonts w:hint="eastAsia" w:ascii="仿宋" w:hAnsi="仿宋" w:eastAsia="仿宋" w:cs="仿宋"/>
          <w:b/>
          <w:sz w:val="28"/>
          <w:szCs w:val="28"/>
        </w:rPr>
        <w:t>七、对本次招标提出询问，请按以下方式联系</w:t>
      </w:r>
      <w:bookmarkEnd w:id="25"/>
      <w:bookmarkEnd w:id="26"/>
      <w:bookmarkEnd w:id="27"/>
      <w:bookmarkEnd w:id="28"/>
    </w:p>
    <w:bookmarkEnd w:id="0"/>
    <w:bookmarkEnd w:id="1"/>
    <w:bookmarkEnd w:id="2"/>
    <w:p w14:paraId="2C5330F5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 w14:paraId="658932F9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名称：淮安市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洪泽区</w:t>
      </w:r>
      <w:r>
        <w:rPr>
          <w:rFonts w:hint="eastAsia" w:ascii="仿宋" w:hAnsi="仿宋" w:eastAsia="仿宋" w:cs="仿宋"/>
          <w:sz w:val="28"/>
          <w:szCs w:val="28"/>
        </w:rPr>
        <w:t>财政局</w:t>
      </w:r>
    </w:p>
    <w:p w14:paraId="23B682E9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淮安市洪泽区人民路</w:t>
      </w:r>
    </w:p>
    <w:p w14:paraId="4FC30B63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吴先生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bookmarkStart w:id="29" w:name="_Toc28359086"/>
      <w:bookmarkStart w:id="30" w:name="_Toc28359009"/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0517-87208551</w:t>
      </w:r>
    </w:p>
    <w:p w14:paraId="66B299A4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  <w:bookmarkEnd w:id="29"/>
      <w:bookmarkEnd w:id="30"/>
    </w:p>
    <w:p w14:paraId="507E8B3E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31" w:name="_Toc28359010"/>
      <w:bookmarkStart w:id="32" w:name="_Toc28359087"/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江苏神州项目管理有限公司</w:t>
      </w:r>
    </w:p>
    <w:p w14:paraId="467261A6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淮安市洪泽区中润武夷国际广场1号楼2108室江苏神州项目管理有限公司</w:t>
      </w:r>
    </w:p>
    <w:p w14:paraId="0B1E623B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冯先生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15195306267</w:t>
      </w:r>
    </w:p>
    <w:p w14:paraId="694DCDEC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 w14:paraId="5DC45D30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冯先生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1AB8E172">
      <w:pPr>
        <w:keepLines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15195306267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C03B3"/>
    <w:rsid w:val="09DC7B9C"/>
    <w:rsid w:val="0D5C03B3"/>
    <w:rsid w:val="19593682"/>
    <w:rsid w:val="2BC8696B"/>
    <w:rsid w:val="2F77622A"/>
    <w:rsid w:val="7ED6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 Indent"/>
    <w:basedOn w:val="1"/>
    <w:next w:val="1"/>
    <w:unhideWhenUsed/>
    <w:qFormat/>
    <w:uiPriority w:val="99"/>
    <w:pPr>
      <w:ind w:firstLine="630"/>
    </w:pPr>
    <w:rPr>
      <w:rFonts w:ascii="楷体_GB2312" w:eastAsia="楷体_GB2312"/>
      <w:sz w:val="32"/>
      <w:szCs w:val="20"/>
    </w:rPr>
  </w:style>
  <w:style w:type="paragraph" w:customStyle="1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1724</Words>
  <Characters>1958</Characters>
  <Lines>0</Lines>
  <Paragraphs>0</Paragraphs>
  <TotalTime>2</TotalTime>
  <ScaleCrop>false</ScaleCrop>
  <LinksUpToDate>false</LinksUpToDate>
  <CharactersWithSpaces>1988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2025-08-12T01:04:00Z</dcterms:created>
  <dc:creator>石头</dc:creator>
  <cp:lastModifiedBy>石头</cp:lastModifiedBy>
  <dcterms:modified xsi:type="dcterms:W3CDTF">2025-08-14T01:10:43Z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31024E799A654D1FBF4AF633B6C9134F_11</vt:lpwstr>
  </property>
  <property fmtid="{D5CDD505-2E9C-101B-9397-08002B2CF9AE}" pid="4" name="KSOTemplateDocerSaveRecord">
    <vt:lpwstr>eyJoZGlkIjoiZjZjNzZmNTQ4ZTczYmNkMTg1OGU1MTM1M2JiOTVlNGMiLCJ1c2VySWQiOiI0NzE2MTQyMzYifQ==</vt:lpwstr>
  </property>
</Properties>
</file>