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7A8F8">
      <w:pPr>
        <w:spacing w:line="640" w:lineRule="exact"/>
        <w:ind w:firstLine="0"/>
        <w:jc w:val="center"/>
        <w:rPr>
          <w:rFonts w:ascii="方正小标宋_GBK" w:hAnsi="微软雅黑" w:eastAsia="方正小标宋_GBK" w:cs="宋体"/>
          <w:bCs/>
          <w:color w:val="000000" w:themeColor="text1"/>
          <w:sz w:val="44"/>
          <w:szCs w:val="44"/>
        </w:rPr>
      </w:pPr>
      <w:r>
        <w:rPr>
          <w:rFonts w:hint="eastAsia" w:ascii="方正小标宋_GBK" w:hAnsi="微软雅黑" w:eastAsia="方正小标宋_GBK" w:cs="宋体"/>
          <w:bCs/>
          <w:color w:val="000000" w:themeColor="text1"/>
          <w:sz w:val="44"/>
          <w:szCs w:val="44"/>
        </w:rPr>
        <w:t>关于进一步加强殡葬服务收费管理有关事项</w:t>
      </w:r>
    </w:p>
    <w:p w14:paraId="469F2444">
      <w:pPr>
        <w:spacing w:line="640" w:lineRule="exact"/>
        <w:ind w:firstLine="0"/>
        <w:jc w:val="center"/>
        <w:rPr>
          <w:rFonts w:ascii="方正小标宋_GBK" w:hAnsi="微软雅黑" w:eastAsia="方正小标宋_GBK" w:cs="宋体"/>
          <w:bCs/>
          <w:color w:val="000000" w:themeColor="text1"/>
          <w:sz w:val="44"/>
          <w:szCs w:val="44"/>
        </w:rPr>
      </w:pPr>
      <w:r>
        <w:rPr>
          <w:rFonts w:hint="eastAsia" w:ascii="方正小标宋_GBK" w:hAnsi="微软雅黑" w:eastAsia="方正小标宋_GBK" w:cs="宋体"/>
          <w:bCs/>
          <w:color w:val="000000" w:themeColor="text1"/>
          <w:sz w:val="44"/>
          <w:szCs w:val="44"/>
        </w:rPr>
        <w:t>的通知（征求意见稿）</w:t>
      </w:r>
    </w:p>
    <w:p w14:paraId="39EF053A">
      <w:pPr>
        <w:spacing w:line="259" w:lineRule="atLeast"/>
        <w:ind w:firstLine="0"/>
        <w:jc w:val="center"/>
        <w:rPr>
          <w:rFonts w:ascii="楷体" w:hAnsi="楷体" w:eastAsia="楷体" w:cs="宋体"/>
          <w:color w:val="555555"/>
          <w:szCs w:val="32"/>
        </w:rPr>
      </w:pPr>
    </w:p>
    <w:p w14:paraId="70B5F181">
      <w:pPr>
        <w:spacing w:line="560" w:lineRule="exact"/>
        <w:ind w:firstLine="0"/>
        <w:jc w:val="left"/>
        <w:rPr>
          <w:rFonts w:hAnsi="微软雅黑" w:cs="宋体"/>
          <w:color w:val="000000" w:themeColor="text1"/>
          <w:szCs w:val="32"/>
        </w:rPr>
      </w:pPr>
      <w:r>
        <w:rPr>
          <w:rFonts w:hint="eastAsia" w:hAnsi="微软雅黑" w:cs="宋体"/>
          <w:color w:val="000000" w:themeColor="text1"/>
          <w:szCs w:val="32"/>
        </w:rPr>
        <w:t>各镇（街道）党政办，区各殡葬服务单位：</w:t>
      </w:r>
    </w:p>
    <w:p w14:paraId="74F95D64">
      <w:pPr>
        <w:spacing w:line="560" w:lineRule="exact"/>
        <w:ind w:firstLine="632" w:firstLineChars="200"/>
        <w:jc w:val="left"/>
        <w:rPr>
          <w:rFonts w:hAnsi="微软雅黑" w:cs="宋体"/>
          <w:color w:val="000000" w:themeColor="text1"/>
          <w:szCs w:val="32"/>
        </w:rPr>
      </w:pPr>
      <w:r>
        <w:rPr>
          <w:rFonts w:hint="eastAsia" w:hAnsi="微软雅黑" w:cs="宋体"/>
          <w:color w:val="000000" w:themeColor="text1"/>
          <w:szCs w:val="32"/>
        </w:rPr>
        <w:t>为加强殡葬服务收费管理，进一步规范殡葬服务收费行为，保障群众基本殡葬服务需求，促进殡葬改革和殡葬事业健康发展，根据《省发改委 省民政厅 省市场监管局关于进一步加强殡葬服务收费管理有关事项的通知》（苏发改收费发〔2025〕69号）、《市发改委 市民政局 市市场监管局关于进一步规范殡葬服务收费管理有关事项的通知》（淮发改办〔2025〕116号）要求，全面推行“殡葬收费清单制、公墓墓葬一价清、所有收费全公开、清单之外无收费”管理机制，结合我区实际，现就加强殡葬服务收费管理有关事项通知如下：</w:t>
      </w:r>
    </w:p>
    <w:p w14:paraId="7F0E9F19">
      <w:pPr>
        <w:shd w:val="clear" w:color="auto" w:fill="FFFFFF"/>
        <w:spacing w:line="560" w:lineRule="exact"/>
        <w:ind w:firstLine="632" w:firstLineChars="200"/>
        <w:rPr>
          <w:rFonts w:ascii="黑体" w:hAnsi="黑体" w:eastAsia="黑体"/>
          <w:color w:val="000000" w:themeColor="text1"/>
          <w:szCs w:val="32"/>
        </w:rPr>
      </w:pPr>
      <w:r>
        <w:rPr>
          <w:rFonts w:hint="eastAsia" w:ascii="黑体" w:hAnsi="黑体" w:eastAsia="黑体"/>
          <w:color w:val="000000" w:themeColor="text1"/>
          <w:szCs w:val="32"/>
        </w:rPr>
        <w:t>一、实行殡葬服务收费项目清单管理</w:t>
      </w:r>
    </w:p>
    <w:p w14:paraId="5C645D45">
      <w:pPr>
        <w:shd w:val="clear" w:color="auto" w:fill="FFFFFF"/>
        <w:spacing w:line="560" w:lineRule="exact"/>
        <w:ind w:firstLine="632" w:firstLineChars="200"/>
        <w:rPr>
          <w:rFonts w:ascii="Times New Roman"/>
          <w:color w:val="000000" w:themeColor="text1"/>
          <w:szCs w:val="32"/>
        </w:rPr>
      </w:pPr>
      <w:r>
        <w:rPr>
          <w:rFonts w:hint="eastAsia" w:ascii="Times New Roman"/>
          <w:color w:val="000000" w:themeColor="text1"/>
          <w:szCs w:val="32"/>
        </w:rPr>
        <w:t>殡葬服务收费项目实行清单管理，建立殡葬基本服务项目清单和延伸服务项目清单。服务项目清单主要包括服务项目名称、服务内容、计费单位、价格管理形式、收费标准、优惠减免政策、惠民殡葬措施等。殡葬基本服务项目清单和延伸服务项目清单由区民政部门会同区发展改革部门在市公布的基本服务和延伸服务项目清单范围内编制，清单实行动态更新，及时向社会公开发布。</w:t>
      </w:r>
    </w:p>
    <w:p w14:paraId="5A74EDEE">
      <w:pPr>
        <w:shd w:val="clear" w:color="auto" w:fill="FFFFFF"/>
        <w:spacing w:line="560" w:lineRule="exact"/>
        <w:ind w:firstLine="632" w:firstLineChars="200"/>
        <w:rPr>
          <w:rFonts w:ascii="黑体" w:hAnsi="黑体" w:eastAsia="黑体" w:cs="宋体"/>
          <w:color w:val="000000" w:themeColor="text1"/>
          <w:szCs w:val="32"/>
        </w:rPr>
      </w:pPr>
      <w:r>
        <w:rPr>
          <w:rFonts w:hint="eastAsia" w:ascii="黑体" w:hAnsi="黑体" w:eastAsia="黑体" w:cs="宋体"/>
          <w:color w:val="000000" w:themeColor="text1"/>
          <w:szCs w:val="32"/>
        </w:rPr>
        <w:t>二、强化殡葬服务收费项目管理</w:t>
      </w:r>
      <w:bookmarkStart w:id="0" w:name="OLE_LINK3"/>
      <w:bookmarkStart w:id="1" w:name="OLE_LINK4"/>
    </w:p>
    <w:p w14:paraId="2259962B">
      <w:pPr>
        <w:shd w:val="clear" w:color="auto" w:fill="FFFFFF"/>
        <w:spacing w:line="560" w:lineRule="exact"/>
        <w:ind w:firstLine="632" w:firstLineChars="200"/>
        <w:rPr>
          <w:rFonts w:ascii="Times New Roman"/>
          <w:color w:val="000000" w:themeColor="text1"/>
          <w:szCs w:val="32"/>
        </w:rPr>
      </w:pPr>
      <w:r>
        <w:rPr>
          <w:rFonts w:hint="eastAsia" w:ascii="Times New Roman"/>
          <w:color w:val="000000" w:themeColor="text1"/>
          <w:szCs w:val="32"/>
        </w:rPr>
        <w:t>殡葬服务收费分为基本服务收费和延伸服务收费，殡葬基本服务收费实行政府指导价管理，殡葬延伸服务收费实行市场调节价管理。</w:t>
      </w:r>
    </w:p>
    <w:p w14:paraId="3E86D3DD">
      <w:pPr>
        <w:spacing w:line="560" w:lineRule="exact"/>
        <w:ind w:firstLine="632" w:firstLineChars="200"/>
        <w:jc w:val="left"/>
        <w:rPr>
          <w:rFonts w:hAnsi="微软雅黑" w:cs="宋体"/>
          <w:color w:val="000000" w:themeColor="text1"/>
          <w:szCs w:val="32"/>
        </w:rPr>
      </w:pPr>
      <w:r>
        <w:rPr>
          <w:rFonts w:hint="eastAsia" w:ascii="方正楷体_GBK" w:hAnsi="楷体" w:eastAsia="方正楷体_GBK" w:cs="宋体"/>
          <w:color w:val="000000" w:themeColor="text1"/>
          <w:szCs w:val="32"/>
        </w:rPr>
        <w:t>（一）殡葬基本服务项目。</w:t>
      </w:r>
      <w:r>
        <w:rPr>
          <w:rFonts w:hint="eastAsia" w:hAnsi="微软雅黑" w:cs="宋体"/>
          <w:color w:val="000000" w:themeColor="text1"/>
          <w:szCs w:val="32"/>
        </w:rPr>
        <w:t>殡葬基本服务项目包括遗体接运、遗体存放、穿（脱）衣、遗容整理、告别厅（守灵厅）租用、遗体火化、骨灰寄存、公益性公墓墓（格）葬、节地生态安葬、公墓维护管理共10项。殡葬基本服务收费实行政府指导价管理，收费标准由区发展改革部门会同区民政部门</w:t>
      </w:r>
      <w:r>
        <w:rPr>
          <w:rFonts w:hint="eastAsia" w:hAnsi="宋体" w:cs="宋体"/>
          <w:color w:val="000000" w:themeColor="text1"/>
          <w:szCs w:val="32"/>
        </w:rPr>
        <w:t>在成本调查基础上，按照非营利原则，根据财政补贴情况制定公布</w:t>
      </w:r>
      <w:r>
        <w:rPr>
          <w:rFonts w:hint="eastAsia" w:hAnsi="微软雅黑" w:cs="宋体"/>
          <w:color w:val="000000" w:themeColor="text1"/>
          <w:szCs w:val="32"/>
        </w:rPr>
        <w:t>。因新改扩建导致成本变化确需调整的，严格依法依规制定。殡仪馆内转接服务属于其标准化作业内容，不得另行收取费用。洪泽区殡葬基本服务项目清单详见附件1。</w:t>
      </w:r>
    </w:p>
    <w:bookmarkEnd w:id="0"/>
    <w:bookmarkEnd w:id="1"/>
    <w:p w14:paraId="7F71F484">
      <w:pPr>
        <w:spacing w:line="560" w:lineRule="exact"/>
        <w:ind w:firstLine="632" w:firstLineChars="200"/>
        <w:jc w:val="left"/>
        <w:rPr>
          <w:rFonts w:hAnsi="微软雅黑" w:cs="宋体"/>
          <w:color w:val="000000" w:themeColor="text1"/>
          <w:szCs w:val="32"/>
        </w:rPr>
      </w:pPr>
      <w:r>
        <w:rPr>
          <w:rFonts w:hint="eastAsia" w:ascii="方正楷体_GBK" w:hAnsi="楷体" w:eastAsia="方正楷体_GBK" w:cs="宋体"/>
          <w:color w:val="000000" w:themeColor="text1"/>
          <w:szCs w:val="32"/>
        </w:rPr>
        <w:t>（二）殡葬延伸服务项目。</w:t>
      </w:r>
      <w:r>
        <w:rPr>
          <w:rFonts w:hint="eastAsia" w:hAnsi="微软雅黑" w:cs="宋体"/>
          <w:color w:val="000000" w:themeColor="text1"/>
          <w:szCs w:val="32"/>
        </w:rPr>
        <w:t>殡葬延伸服务项目包括遗体外运、特殊遗体整理、经营性公墓墓（格）葬共3项。殡葬延伸服务收费实行市场调节价管理，由殡葬服务机构根据成本、社会承受能力、市场需求状况合理确定具体收费标准，经区民政部门审核公示后，抄报区发展改革部门。洪泽区殡葬延伸服务项目清单详见附件2。</w:t>
      </w:r>
    </w:p>
    <w:p w14:paraId="040A7C9D">
      <w:pPr>
        <w:spacing w:line="560" w:lineRule="exact"/>
        <w:ind w:firstLine="632" w:firstLineChars="200"/>
        <w:jc w:val="left"/>
        <w:rPr>
          <w:rFonts w:hAnsi="微软雅黑" w:cs="宋体"/>
          <w:color w:val="FF0000"/>
          <w:szCs w:val="32"/>
          <w:u w:val="single"/>
        </w:rPr>
      </w:pPr>
      <w:r>
        <w:rPr>
          <w:rFonts w:hint="eastAsia" w:hAnsi="微软雅黑" w:cs="宋体"/>
          <w:color w:val="000000" w:themeColor="text1"/>
          <w:szCs w:val="32"/>
        </w:rPr>
        <w:t>个性化安葬需求、殡仪服务、代客祭扫、网络祭扫等特殊情况，按照双方合同约定执行。</w:t>
      </w:r>
    </w:p>
    <w:p w14:paraId="6E0190C2">
      <w:pPr>
        <w:spacing w:line="560" w:lineRule="exact"/>
        <w:ind w:firstLine="632" w:firstLineChars="200"/>
        <w:jc w:val="left"/>
        <w:rPr>
          <w:rFonts w:ascii="黑体" w:hAnsi="黑体" w:eastAsia="黑体" w:cs="宋体"/>
          <w:color w:val="000000" w:themeColor="text1"/>
          <w:szCs w:val="32"/>
        </w:rPr>
      </w:pPr>
      <w:r>
        <w:rPr>
          <w:rFonts w:hint="eastAsia" w:ascii="黑体" w:hAnsi="黑体" w:eastAsia="黑体" w:cs="宋体"/>
          <w:color w:val="000000" w:themeColor="text1"/>
          <w:szCs w:val="32"/>
        </w:rPr>
        <w:t>三、健全公墓收费分类定价管理</w:t>
      </w:r>
    </w:p>
    <w:p w14:paraId="3332C554">
      <w:pPr>
        <w:spacing w:line="560" w:lineRule="exact"/>
        <w:ind w:firstLine="632" w:firstLineChars="200"/>
        <w:jc w:val="left"/>
        <w:rPr>
          <w:rFonts w:hAnsi="微软雅黑" w:cs="宋体"/>
          <w:color w:val="FF0000"/>
          <w:szCs w:val="32"/>
        </w:rPr>
      </w:pPr>
      <w:r>
        <w:rPr>
          <w:rFonts w:hint="eastAsia" w:hAnsi="微软雅黑" w:cs="宋体"/>
          <w:color w:val="000000" w:themeColor="text1"/>
          <w:szCs w:val="32"/>
        </w:rPr>
        <w:t>公墓收费实行分类定价管理，包括公益性公墓墓（格）葬费、经营性公墓墓（格）葬费、公墓维护管理费。公墓墓（格）葬费是指墓穴等墓葬设施（含立体式骨灰安葬）墓地（格）费用、落葬服务费用（含再次合葬的落葬费用）、墓碑墓体费用以及相关材料等费用，实行“一价清”，不得价外收取与公墓墓（格）葬相关的其他费用。提倡和鼓励节地生态安葬、骨灰立体安葬、骨灰撒散（江葬、海葬）、不保留骨灰、林草地复合葬法。禁止将公益性公墓变更为经营性公墓。</w:t>
      </w:r>
    </w:p>
    <w:p w14:paraId="61D076FE">
      <w:pPr>
        <w:spacing w:line="560" w:lineRule="exact"/>
        <w:ind w:firstLine="632" w:firstLineChars="200"/>
        <w:jc w:val="left"/>
        <w:rPr>
          <w:rFonts w:hAnsi="微软雅黑" w:cs="宋体"/>
          <w:color w:val="FF0000"/>
          <w:szCs w:val="32"/>
        </w:rPr>
      </w:pPr>
      <w:bookmarkStart w:id="2" w:name="OLE_LINK2"/>
      <w:bookmarkStart w:id="3" w:name="OLE_LINK1"/>
      <w:r>
        <w:rPr>
          <w:rFonts w:hint="eastAsia" w:ascii="方正楷体_GBK" w:hAnsi="楷体" w:eastAsia="方正楷体_GBK" w:cs="宋体"/>
          <w:color w:val="000000" w:themeColor="text1"/>
          <w:szCs w:val="32"/>
        </w:rPr>
        <w:t>（一）规范公益性公墓墓（格）葬费管理</w:t>
      </w:r>
      <w:r>
        <w:rPr>
          <w:rFonts w:hint="eastAsia" w:ascii="方正楷体_GBK" w:hAnsi="微软雅黑" w:eastAsia="方正楷体_GBK" w:cs="宋体"/>
          <w:color w:val="000000" w:themeColor="text1"/>
          <w:szCs w:val="32"/>
        </w:rPr>
        <w:t>。</w:t>
      </w:r>
      <w:r>
        <w:rPr>
          <w:rFonts w:hint="eastAsia" w:hAnsi="微软雅黑" w:cs="宋体"/>
          <w:color w:val="000000" w:themeColor="text1"/>
          <w:szCs w:val="32"/>
        </w:rPr>
        <w:t>公益性公墓墓（格）葬费实行政府指导价管理，收费标准由区发展改革部门会同区民政部门，按照非营利原则，综合考虑建设成本、地方经济发展水平、社会承受能力等因素依法依规制定。相关公墓经营单位结合建设成本差异等情况和非营利原则，确定不同墓（格）型具体收费标准，经区民政部门审核后，报区发展改革部门备案。</w:t>
      </w:r>
    </w:p>
    <w:bookmarkEnd w:id="2"/>
    <w:bookmarkEnd w:id="3"/>
    <w:p w14:paraId="7B1556CB">
      <w:pPr>
        <w:jc w:val="left"/>
        <w:rPr>
          <w:rFonts w:hAnsi="微软雅黑" w:cs="宋体"/>
          <w:color w:val="000000" w:themeColor="text1"/>
          <w:szCs w:val="32"/>
        </w:rPr>
      </w:pPr>
      <w:r>
        <w:rPr>
          <w:rFonts w:hint="eastAsia" w:ascii="方正楷体_GBK" w:hAnsi="楷体" w:eastAsia="方正楷体_GBK" w:cs="宋体"/>
          <w:color w:val="000000" w:themeColor="text1"/>
          <w:szCs w:val="32"/>
        </w:rPr>
        <w:t>（二）规范经营性公墓墓（格）葬费管理。</w:t>
      </w:r>
      <w:r>
        <w:rPr>
          <w:rFonts w:hint="eastAsia" w:hAnsi="微软雅黑" w:cs="宋体"/>
          <w:color w:val="000000" w:themeColor="text1"/>
          <w:szCs w:val="32"/>
        </w:rPr>
        <w:t>经营性公墓墓（格）葬费实行市场调节价管理，由公墓经营单位根据经营成本、社会承受能力、市场需求等合理确定</w:t>
      </w:r>
      <w:bookmarkStart w:id="4" w:name="OLE_LINK24"/>
      <w:bookmarkStart w:id="5" w:name="OLE_LINK25"/>
      <w:r>
        <w:rPr>
          <w:rFonts w:hint="eastAsia" w:hAnsi="微软雅黑" w:cs="宋体"/>
          <w:color w:val="000000" w:themeColor="text1"/>
          <w:szCs w:val="32"/>
        </w:rPr>
        <w:t>，经区民政部门</w:t>
      </w:r>
      <w:bookmarkEnd w:id="4"/>
      <w:bookmarkEnd w:id="5"/>
      <w:r>
        <w:rPr>
          <w:rFonts w:hint="eastAsia" w:hAnsi="微软雅黑" w:cs="宋体"/>
          <w:color w:val="000000" w:themeColor="text1"/>
          <w:szCs w:val="32"/>
        </w:rPr>
        <w:t>审核公示后，报区发展改革部门备案。</w:t>
      </w:r>
    </w:p>
    <w:p w14:paraId="30F30599">
      <w:pPr>
        <w:spacing w:line="560" w:lineRule="exact"/>
        <w:ind w:firstLine="632" w:firstLineChars="200"/>
        <w:jc w:val="left"/>
        <w:rPr>
          <w:rFonts w:hAnsi="微软雅黑" w:cs="宋体"/>
          <w:color w:val="000000" w:themeColor="text1"/>
          <w:szCs w:val="32"/>
        </w:rPr>
      </w:pPr>
      <w:r>
        <w:rPr>
          <w:rFonts w:hint="eastAsia" w:ascii="方正楷体_GBK" w:hAnsi="楷体" w:eastAsia="方正楷体_GBK" w:cs="宋体"/>
          <w:color w:val="000000" w:themeColor="text1"/>
          <w:szCs w:val="32"/>
        </w:rPr>
        <w:t>（三）规范公墓维护管理费管理。</w:t>
      </w:r>
      <w:r>
        <w:rPr>
          <w:rFonts w:hint="eastAsia" w:hAnsi="微软雅黑" w:cs="宋体"/>
          <w:color w:val="000000" w:themeColor="text1"/>
          <w:szCs w:val="32"/>
        </w:rPr>
        <w:t>公墓维护管理费（含经营性公墓）指公墓经营单位收取的日常管理及维护等费用。公墓维护管理费实行政府指导价管理，收费标准由区发展改革部门会同区民政部门制定公布。公墓维护管理费经区民政部门审核后，报区发展改革部门备案。</w:t>
      </w:r>
    </w:p>
    <w:p w14:paraId="2F30AB62">
      <w:pPr>
        <w:spacing w:line="560" w:lineRule="exact"/>
        <w:ind w:firstLine="632" w:firstLineChars="200"/>
        <w:jc w:val="left"/>
        <w:rPr>
          <w:rFonts w:hAnsi="楷体" w:cs="宋体"/>
          <w:color w:val="000000" w:themeColor="text1"/>
          <w:szCs w:val="32"/>
        </w:rPr>
      </w:pPr>
      <w:r>
        <w:rPr>
          <w:rFonts w:hint="eastAsia" w:hAnsi="微软雅黑" w:cs="宋体"/>
          <w:color w:val="000000" w:themeColor="text1"/>
          <w:szCs w:val="32"/>
        </w:rPr>
        <w:t>公墓维护管理费原则上按年计收，双方可以合同约定方式确定计收方式，如一次性收取，最长收费年限不得超过20年。经营性公墓单位应当提取墓葬费的百分之五建立维护基金，实行专账管理，在区民政部门的监督下专门用于墓位的维护和管理。</w:t>
      </w:r>
    </w:p>
    <w:p w14:paraId="252FD4CD">
      <w:pPr>
        <w:spacing w:line="560" w:lineRule="exact"/>
        <w:ind w:firstLine="632" w:firstLineChars="200"/>
        <w:jc w:val="left"/>
        <w:rPr>
          <w:rFonts w:hAnsi="微软雅黑" w:cs="宋体"/>
          <w:color w:val="000000" w:themeColor="text1"/>
          <w:szCs w:val="32"/>
        </w:rPr>
      </w:pPr>
      <w:r>
        <w:rPr>
          <w:rFonts w:hint="eastAsia" w:hAnsi="微软雅黑" w:cs="宋体"/>
          <w:color w:val="000000" w:themeColor="text1"/>
          <w:szCs w:val="32"/>
        </w:rPr>
        <w:t>本通知实施前双方已签订墓葬服务协议的，按照协议签订时的收费政策执行。</w:t>
      </w:r>
    </w:p>
    <w:p w14:paraId="2C3474D1">
      <w:pPr>
        <w:shd w:val="clear" w:color="auto" w:fill="FFFFFF"/>
        <w:spacing w:line="560" w:lineRule="exact"/>
        <w:ind w:firstLine="632" w:firstLineChars="200"/>
        <w:rPr>
          <w:rFonts w:ascii="黑体" w:hAnsi="黑体" w:eastAsia="黑体" w:cs="宋体"/>
          <w:color w:val="000000" w:themeColor="text1"/>
          <w:szCs w:val="32"/>
        </w:rPr>
      </w:pPr>
      <w:r>
        <w:rPr>
          <w:rFonts w:hint="eastAsia" w:ascii="黑体" w:hAnsi="黑体" w:eastAsia="黑体" w:cs="宋体"/>
          <w:color w:val="000000" w:themeColor="text1"/>
          <w:szCs w:val="32"/>
        </w:rPr>
        <w:t>四、切实规范殡葬用品价格管理</w:t>
      </w:r>
    </w:p>
    <w:p w14:paraId="07654BE3">
      <w:pPr>
        <w:shd w:val="clear" w:color="auto" w:fill="FFFFFF"/>
        <w:spacing w:line="560" w:lineRule="exact"/>
        <w:ind w:firstLine="632" w:firstLineChars="200"/>
        <w:rPr>
          <w:rFonts w:ascii="仿宋_GB2312" w:hAnsi="微软雅黑" w:eastAsia="仿宋_GB2312" w:cs="宋体"/>
          <w:color w:val="000000" w:themeColor="text1"/>
          <w:szCs w:val="32"/>
        </w:rPr>
      </w:pPr>
      <w:r>
        <w:rPr>
          <w:rFonts w:hint="eastAsia" w:ascii="方正楷体_GBK" w:hAnsi="楷体" w:eastAsia="方正楷体_GBK" w:cs="宋体"/>
          <w:color w:val="000000" w:themeColor="text1"/>
          <w:szCs w:val="32"/>
        </w:rPr>
        <w:t>（一）统一殡葬用品清单。</w:t>
      </w:r>
      <w:r>
        <w:rPr>
          <w:rFonts w:hint="eastAsia" w:ascii="Times New Roman"/>
          <w:color w:val="000000" w:themeColor="text1"/>
          <w:szCs w:val="32"/>
        </w:rPr>
        <w:t>市民政部门统一制定全市殡葬用品清单，原则上殡葬基本服务项目清单中的殡葬用品不得列入殡葬用品清单范围。</w:t>
      </w:r>
      <w:r>
        <w:rPr>
          <w:rFonts w:hint="eastAsia" w:hAnsi="微软雅黑" w:cs="宋体"/>
          <w:color w:val="000000" w:themeColor="text1"/>
          <w:szCs w:val="32"/>
        </w:rPr>
        <w:t>区民政部门、市场监管部门指导殡葬服务单位，在市公布的殡葬用品清单范围内，建立服务单位殡葬用品销售清单，载明用品名称、计费单位、销售价格等内容，统一殡葬用品销售清单公示样式，并抄报区民政部门、市场监管部门，主动接受监督。市级殡葬用品清单详见附件3。</w:t>
      </w:r>
    </w:p>
    <w:p w14:paraId="1E23E579">
      <w:pPr>
        <w:shd w:val="clear" w:color="auto" w:fill="FFFFFF"/>
        <w:spacing w:line="560" w:lineRule="exact"/>
        <w:ind w:firstLine="632" w:firstLineChars="200"/>
        <w:rPr>
          <w:rFonts w:ascii="仿宋_GB2312" w:hAnsi="微软雅黑" w:eastAsia="仿宋_GB2312" w:cs="宋体"/>
          <w:color w:val="000000" w:themeColor="text1"/>
          <w:szCs w:val="32"/>
        </w:rPr>
      </w:pPr>
      <w:r>
        <w:rPr>
          <w:rFonts w:hint="eastAsia" w:ascii="方正楷体_GBK" w:hAnsi="楷体" w:eastAsia="方正楷体_GBK" w:cs="宋体"/>
          <w:color w:val="000000" w:themeColor="text1"/>
          <w:szCs w:val="32"/>
        </w:rPr>
        <w:t>（二）合理确定殡葬用品价格。</w:t>
      </w:r>
      <w:r>
        <w:rPr>
          <w:rFonts w:hint="eastAsia" w:hAnsi="微软雅黑" w:cs="宋体"/>
          <w:color w:val="000000" w:themeColor="text1"/>
          <w:szCs w:val="32"/>
        </w:rPr>
        <w:t>殡葬服务单位要始终坚持公益属性，参考商品招标购进价格、市场平均价格水平、社会可承受能力等，合理确定殡葬用品价格，并保持相对稳定。在销售殡葬用品时，要遵循自愿原则、明码标价、诚实经营，不得限制或变相限制使用自带商品，主动接受相关部门和群众的监督。</w:t>
      </w:r>
    </w:p>
    <w:p w14:paraId="6B81E442">
      <w:pPr>
        <w:shd w:val="clear" w:color="auto" w:fill="FFFFFF"/>
        <w:spacing w:line="560" w:lineRule="exact"/>
        <w:ind w:firstLine="632" w:firstLineChars="200"/>
        <w:rPr>
          <w:rFonts w:hAnsi="微软雅黑" w:cs="宋体"/>
          <w:color w:val="FF0000"/>
          <w:szCs w:val="32"/>
          <w:u w:val="single"/>
        </w:rPr>
      </w:pPr>
      <w:r>
        <w:rPr>
          <w:rFonts w:hint="eastAsia" w:ascii="方正楷体_GBK" w:hAnsi="楷体" w:eastAsia="方正楷体_GBK" w:cs="宋体"/>
          <w:color w:val="000000" w:themeColor="text1"/>
          <w:szCs w:val="32"/>
        </w:rPr>
        <w:t>（三）定期开展巡查检查。</w:t>
      </w:r>
      <w:r>
        <w:rPr>
          <w:rFonts w:hint="eastAsia" w:hAnsi="楷体" w:cs="宋体"/>
          <w:color w:val="000000" w:themeColor="text1"/>
          <w:szCs w:val="32"/>
        </w:rPr>
        <w:t>区</w:t>
      </w:r>
      <w:r>
        <w:rPr>
          <w:rFonts w:hint="eastAsia" w:hAnsi="微软雅黑" w:cs="宋体"/>
          <w:color w:val="000000" w:themeColor="text1"/>
          <w:szCs w:val="32"/>
        </w:rPr>
        <w:t>民政部门、市场监管部门要加强殡葬服务单位销售殡葬用品的价格管理，定期开展巡查、检查，坚决遏制高价销售行为。</w:t>
      </w:r>
    </w:p>
    <w:p w14:paraId="3D99345D">
      <w:pPr>
        <w:spacing w:line="560" w:lineRule="exact"/>
        <w:ind w:firstLine="632" w:firstLineChars="200"/>
        <w:rPr>
          <w:rFonts w:ascii="黑体" w:hAnsi="黑体" w:eastAsia="黑体" w:cs="宋体"/>
          <w:color w:val="000000" w:themeColor="text1"/>
          <w:szCs w:val="32"/>
        </w:rPr>
      </w:pPr>
      <w:r>
        <w:rPr>
          <w:rFonts w:hint="eastAsia" w:ascii="黑体" w:hAnsi="黑体" w:eastAsia="黑体" w:cs="宋体"/>
          <w:color w:val="000000" w:themeColor="text1"/>
          <w:szCs w:val="32"/>
        </w:rPr>
        <w:t>五、加强殡葬服务收费行为监管</w:t>
      </w:r>
    </w:p>
    <w:p w14:paraId="35E68776">
      <w:pPr>
        <w:spacing w:line="560" w:lineRule="exact"/>
        <w:ind w:firstLine="632" w:firstLineChars="200"/>
        <w:jc w:val="left"/>
        <w:rPr>
          <w:rFonts w:ascii="仿宋_GB2312" w:hAnsi="微软雅黑" w:eastAsia="仿宋_GB2312" w:cs="宋体"/>
          <w:color w:val="000000" w:themeColor="text1"/>
          <w:szCs w:val="32"/>
        </w:rPr>
      </w:pPr>
      <w:r>
        <w:rPr>
          <w:rFonts w:hint="eastAsia" w:ascii="方正楷体_GBK" w:hAnsi="楷体" w:eastAsia="方正楷体_GBK" w:cs="宋体"/>
          <w:color w:val="000000" w:themeColor="text1"/>
          <w:szCs w:val="32"/>
        </w:rPr>
        <w:t>（一）落实优惠减免政策。</w:t>
      </w:r>
      <w:r>
        <w:rPr>
          <w:rFonts w:hint="eastAsia" w:hAnsi="微软雅黑" w:cs="宋体"/>
          <w:color w:val="000000" w:themeColor="text1"/>
          <w:szCs w:val="32"/>
        </w:rPr>
        <w:t>殡葬服务是面向全社会的特殊公共服务，坚持基本殡葬服务的公益属性，严格落实各项惠民殡葬政策，具体按我区制定的惠民殡葬相关政策执行，执行期间如遇惠民殡葬政策调整的，从其规定。</w:t>
      </w:r>
    </w:p>
    <w:p w14:paraId="6E0FC6B4">
      <w:pPr>
        <w:spacing w:line="560" w:lineRule="exact"/>
        <w:ind w:firstLine="632" w:firstLineChars="200"/>
        <w:jc w:val="left"/>
        <w:rPr>
          <w:rFonts w:hAnsi="微软雅黑" w:cs="宋体"/>
          <w:color w:val="000000" w:themeColor="text1"/>
          <w:szCs w:val="32"/>
        </w:rPr>
      </w:pPr>
      <w:r>
        <w:rPr>
          <w:rFonts w:hint="eastAsia" w:ascii="方正楷体_GBK" w:hAnsi="楷体" w:eastAsia="方正楷体_GBK" w:cs="宋体"/>
          <w:color w:val="000000" w:themeColor="text1"/>
          <w:szCs w:val="32"/>
        </w:rPr>
        <w:t>（二）严格收费公示制度。</w:t>
      </w:r>
      <w:r>
        <w:rPr>
          <w:rFonts w:hint="eastAsia" w:hAnsi="微软雅黑" w:cs="宋体"/>
          <w:color w:val="000000" w:themeColor="text1"/>
          <w:szCs w:val="32"/>
        </w:rPr>
        <w:t>殡葬服务单位应规范收费票据管理，严格执行收费公示和明码标价制度，要在经营场所显著位置公开基本服务项目清单、延伸服务项目清单、殡葬用品销售清单，主动公示服务内容、收费标准、计费单位、优惠减免政策、投诉举报电话等信息，清单之外一律不得收费。</w:t>
      </w:r>
    </w:p>
    <w:p w14:paraId="5D56E4FB">
      <w:pPr>
        <w:spacing w:line="560" w:lineRule="exact"/>
        <w:ind w:firstLine="632" w:firstLineChars="200"/>
        <w:jc w:val="left"/>
        <w:rPr>
          <w:rFonts w:hAnsi="微软雅黑" w:cs="宋体"/>
          <w:color w:val="000000" w:themeColor="text1"/>
          <w:szCs w:val="32"/>
        </w:rPr>
      </w:pPr>
      <w:r>
        <w:rPr>
          <w:rFonts w:hint="eastAsia" w:ascii="方正楷体_GBK" w:hAnsi="楷体" w:eastAsia="方正楷体_GBK" w:cs="宋体"/>
          <w:color w:val="000000" w:themeColor="text1"/>
          <w:szCs w:val="32"/>
        </w:rPr>
        <w:t>（三）强化日常监督检查。</w:t>
      </w:r>
      <w:r>
        <w:rPr>
          <w:rFonts w:hint="eastAsia" w:hAnsi="微软雅黑" w:cs="宋体"/>
          <w:color w:val="000000" w:themeColor="text1"/>
          <w:szCs w:val="32"/>
        </w:rPr>
        <w:t>区市场监管部门要加强殡葬服务收费行为监督检查，畅通投诉举报渠道，依法查处殡葬服务单位价格违法违规行为，切实维护群众合法价格权益。</w:t>
      </w:r>
    </w:p>
    <w:p w14:paraId="79E4F811">
      <w:pPr>
        <w:spacing w:line="560" w:lineRule="exact"/>
        <w:ind w:firstLine="632" w:firstLineChars="200"/>
        <w:jc w:val="left"/>
        <w:rPr>
          <w:rFonts w:hAnsi="微软雅黑" w:cs="宋体"/>
          <w:color w:val="000000" w:themeColor="text1"/>
          <w:szCs w:val="32"/>
        </w:rPr>
      </w:pPr>
      <w:r>
        <w:rPr>
          <w:rFonts w:hint="eastAsia" w:hAnsi="微软雅黑" w:cs="宋体"/>
          <w:color w:val="000000" w:themeColor="text1"/>
          <w:szCs w:val="32"/>
        </w:rPr>
        <w:t>本通知自发文之日起执行。原区发展改革委、区民政局《关于转发〈淮安市物价局 淮安市民政局关于加强殡葬服务收费管理的实施意见〉的通知》（洪发改发〔2018〕3号）、原区发展改革委、区民政局、区财政局《关于转发〈淮安市物价局 淮安市民政局关于公布市级殡葬服务收费项目的通知〉的通知》（洪发改发〔2019〕48号）同时废止，其他此前与本通知规定不一致的，以本通知为准。如遇国家、省、市有关殡葬服务收费管理政策调整，从其规定。</w:t>
      </w:r>
    </w:p>
    <w:p w14:paraId="7A360CA0">
      <w:pPr>
        <w:spacing w:line="560" w:lineRule="exact"/>
        <w:ind w:firstLine="632" w:firstLineChars="200"/>
        <w:jc w:val="left"/>
        <w:rPr>
          <w:rFonts w:ascii="仿宋_GB2312" w:hAnsi="微软雅黑" w:eastAsia="仿宋_GB2312" w:cs="宋体"/>
          <w:color w:val="000000" w:themeColor="text1"/>
          <w:szCs w:val="32"/>
        </w:rPr>
      </w:pPr>
    </w:p>
    <w:p w14:paraId="0C9568AB">
      <w:pPr>
        <w:spacing w:line="560" w:lineRule="exact"/>
        <w:ind w:firstLine="632" w:firstLineChars="200"/>
        <w:jc w:val="left"/>
        <w:rPr>
          <w:color w:val="000000" w:themeColor="text1"/>
          <w:szCs w:val="32"/>
        </w:rPr>
      </w:pPr>
      <w:r>
        <w:rPr>
          <w:rFonts w:hint="eastAsia"/>
          <w:color w:val="000000" w:themeColor="text1"/>
          <w:szCs w:val="32"/>
        </w:rPr>
        <w:t>附件：1.淮安市洪泽区殡葬基本服务项目清单（试行）</w:t>
      </w:r>
    </w:p>
    <w:p w14:paraId="6E89E32D">
      <w:pPr>
        <w:spacing w:line="560" w:lineRule="exact"/>
        <w:ind w:firstLine="1738" w:firstLineChars="550"/>
        <w:jc w:val="left"/>
        <w:rPr>
          <w:color w:val="000000" w:themeColor="text1"/>
          <w:szCs w:val="32"/>
        </w:rPr>
      </w:pPr>
      <w:r>
        <w:rPr>
          <w:rFonts w:hint="eastAsia"/>
          <w:color w:val="000000" w:themeColor="text1"/>
          <w:szCs w:val="32"/>
        </w:rPr>
        <w:t>2.淮安市洪泽区殡葬延伸服务项目清单（试行）</w:t>
      </w:r>
    </w:p>
    <w:p w14:paraId="11530F4D">
      <w:pPr>
        <w:spacing w:line="560" w:lineRule="exact"/>
        <w:ind w:firstLine="1738" w:firstLineChars="550"/>
        <w:jc w:val="left"/>
        <w:rPr>
          <w:color w:val="000000" w:themeColor="text1"/>
          <w:szCs w:val="32"/>
        </w:rPr>
      </w:pPr>
      <w:r>
        <w:rPr>
          <w:rFonts w:hint="eastAsia"/>
          <w:color w:val="000000" w:themeColor="text1"/>
          <w:szCs w:val="32"/>
        </w:rPr>
        <w:t>3.淮安市级殡葬用品清单（试行）</w:t>
      </w:r>
    </w:p>
    <w:p w14:paraId="09C3F78B">
      <w:pPr>
        <w:ind w:firstLine="1713" w:firstLineChars="542"/>
        <w:rPr>
          <w:color w:val="000000" w:themeColor="text1"/>
          <w:szCs w:val="32"/>
        </w:rPr>
      </w:pPr>
      <w:r>
        <w:rPr>
          <w:rFonts w:hint="eastAsia"/>
          <w:color w:val="000000" w:themeColor="text1"/>
          <w:szCs w:val="32"/>
        </w:rPr>
        <w:t>4.公墓墓（格）葬费和维护管理费备案表</w:t>
      </w:r>
    </w:p>
    <w:p w14:paraId="6C8A19B7">
      <w:pPr>
        <w:ind w:firstLine="0"/>
        <w:rPr>
          <w:color w:val="000000" w:themeColor="text1"/>
          <w:szCs w:val="32"/>
        </w:rPr>
      </w:pPr>
    </w:p>
    <w:p w14:paraId="43DB55AE">
      <w:pPr>
        <w:spacing w:line="560" w:lineRule="exact"/>
        <w:rPr>
          <w:color w:val="000000" w:themeColor="text1"/>
          <w:szCs w:val="32"/>
        </w:rPr>
      </w:pPr>
    </w:p>
    <w:p w14:paraId="5DEAE12B">
      <w:pPr>
        <w:spacing w:line="560" w:lineRule="exact"/>
        <w:rPr>
          <w:color w:val="000000" w:themeColor="text1"/>
          <w:szCs w:val="32"/>
        </w:rPr>
      </w:pPr>
    </w:p>
    <w:p w14:paraId="4523E451">
      <w:pPr>
        <w:spacing w:line="560" w:lineRule="exact"/>
        <w:rPr>
          <w:color w:val="000000" w:themeColor="text1"/>
          <w:szCs w:val="32"/>
        </w:rPr>
      </w:pPr>
    </w:p>
    <w:p w14:paraId="386069E2">
      <w:pPr>
        <w:spacing w:line="560" w:lineRule="exact"/>
        <w:rPr>
          <w:color w:val="000000" w:themeColor="text1"/>
          <w:szCs w:val="32"/>
        </w:rPr>
      </w:pPr>
    </w:p>
    <w:p w14:paraId="7208F7F8">
      <w:pPr>
        <w:spacing w:line="560" w:lineRule="exact"/>
        <w:ind w:firstLine="0"/>
        <w:rPr>
          <w:szCs w:val="32"/>
        </w:rPr>
      </w:pPr>
      <w:r>
        <w:rPr>
          <w:rFonts w:hint="eastAsia"/>
          <w:szCs w:val="32"/>
        </w:rPr>
        <w:t>淮安市洪泽区发展和改革委员会      淮安市洪泽区民政局</w:t>
      </w:r>
    </w:p>
    <w:p w14:paraId="1374F49F">
      <w:pPr>
        <w:spacing w:line="560" w:lineRule="exact"/>
        <w:rPr>
          <w:szCs w:val="32"/>
        </w:rPr>
      </w:pPr>
    </w:p>
    <w:p w14:paraId="1579A13A">
      <w:pPr>
        <w:spacing w:line="560" w:lineRule="exact"/>
        <w:rPr>
          <w:szCs w:val="32"/>
        </w:rPr>
      </w:pPr>
    </w:p>
    <w:p w14:paraId="4CC89286">
      <w:pPr>
        <w:spacing w:line="560" w:lineRule="exact"/>
        <w:rPr>
          <w:szCs w:val="32"/>
        </w:rPr>
      </w:pPr>
    </w:p>
    <w:p w14:paraId="4BA8C8A5">
      <w:pPr>
        <w:spacing w:line="560" w:lineRule="exact"/>
        <w:ind w:firstLine="1703" w:firstLineChars="539"/>
        <w:rPr>
          <w:szCs w:val="32"/>
        </w:rPr>
      </w:pPr>
      <w:r>
        <w:rPr>
          <w:rFonts w:hint="eastAsia"/>
          <w:szCs w:val="32"/>
        </w:rPr>
        <w:t xml:space="preserve">                淮安市洪泽区市场监督管理局</w:t>
      </w:r>
    </w:p>
    <w:p w14:paraId="7A751582">
      <w:pPr>
        <w:pStyle w:val="8"/>
        <w:spacing w:line="560" w:lineRule="exact"/>
        <w:ind w:firstLine="5688" w:firstLineChars="1800"/>
        <w:rPr>
          <w:rFonts w:ascii="方正仿宋_GBK" w:eastAsia="方正仿宋_GBK"/>
          <w:sz w:val="32"/>
          <w:szCs w:val="32"/>
        </w:rPr>
      </w:pPr>
      <w:r>
        <w:rPr>
          <w:rFonts w:hint="eastAsia" w:ascii="方正仿宋_GBK" w:eastAsia="方正仿宋_GBK"/>
          <w:sz w:val="32"/>
          <w:szCs w:val="32"/>
        </w:rPr>
        <w:t>2025年  月  日</w:t>
      </w:r>
    </w:p>
    <w:p w14:paraId="1E92A477">
      <w:pPr>
        <w:spacing w:line="560" w:lineRule="exact"/>
        <w:ind w:firstLine="5846" w:firstLineChars="1850"/>
        <w:rPr>
          <w:szCs w:val="32"/>
        </w:rPr>
      </w:pPr>
    </w:p>
    <w:p w14:paraId="117E4D70">
      <w:pPr>
        <w:spacing w:line="560" w:lineRule="exact"/>
        <w:ind w:firstLine="5846" w:firstLineChars="1850"/>
        <w:rPr>
          <w:szCs w:val="32"/>
        </w:rPr>
      </w:pPr>
    </w:p>
    <w:p w14:paraId="41BFC227">
      <w:pPr>
        <w:spacing w:line="560" w:lineRule="exact"/>
        <w:ind w:firstLine="5846" w:firstLineChars="1850"/>
        <w:rPr>
          <w:rFonts w:ascii="仿宋_GB2312" w:eastAsia="仿宋_GB2312"/>
          <w:szCs w:val="32"/>
        </w:rPr>
      </w:pPr>
    </w:p>
    <w:p w14:paraId="54265561">
      <w:pPr>
        <w:spacing w:line="560" w:lineRule="exact"/>
        <w:ind w:firstLine="5846" w:firstLineChars="1850"/>
        <w:rPr>
          <w:rFonts w:ascii="仿宋_GB2312" w:eastAsia="仿宋_GB2312"/>
          <w:szCs w:val="32"/>
        </w:rPr>
      </w:pPr>
    </w:p>
    <w:p w14:paraId="52E8EEDD">
      <w:pPr>
        <w:spacing w:line="700" w:lineRule="exact"/>
        <w:ind w:firstLine="5846" w:firstLineChars="1850"/>
        <w:rPr>
          <w:rFonts w:ascii="仿宋_GB2312" w:eastAsia="仿宋_GB2312"/>
          <w:szCs w:val="32"/>
        </w:rPr>
      </w:pPr>
    </w:p>
    <w:p w14:paraId="427DF638">
      <w:pPr>
        <w:spacing w:line="570" w:lineRule="exact"/>
        <w:ind w:left="316" w:leftChars="100" w:right="316" w:rightChars="100" w:firstLine="0"/>
        <w:rPr>
          <w:spacing w:val="-4"/>
          <w:sz w:val="28"/>
          <w:szCs w:val="28"/>
        </w:rPr>
      </w:pPr>
      <w:r>
        <w:rPr>
          <w:rFonts w:hint="eastAsia"/>
          <w:spacing w:val="-4"/>
          <w:sz w:val="28"/>
          <w:szCs w:val="28"/>
        </w:rPr>
        <w:t>抄送：</w:t>
      </w:r>
      <w:r>
        <w:rPr>
          <w:spacing w:val="-4"/>
          <w:szCs w:val="84"/>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399415</wp:posOffset>
                </wp:positionV>
                <wp:extent cx="5615940" cy="1270"/>
                <wp:effectExtent l="0" t="0" r="0" b="0"/>
                <wp:wrapNone/>
                <wp:docPr id="2" name="自选图形 3"/>
                <wp:cNvGraphicFramePr/>
                <a:graphic xmlns:a="http://schemas.openxmlformats.org/drawingml/2006/main">
                  <a:graphicData uri="http://schemas.microsoft.com/office/word/2010/wordprocessingShape">
                    <wps:wsp>
                      <wps:cNvCnPr/>
                      <wps:spPr>
                        <a:xfrm>
                          <a:off x="0" y="0"/>
                          <a:ext cx="5615940" cy="127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0.1pt;margin-top:31.45pt;height:0.1pt;width:442.2pt;z-index:251659264;mso-width-relative:page;mso-height-relative:page;" filled="f" stroked="t" coordsize="21600,21600" o:gfxdata="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CZCP0gAAAAYBAAAPAAAAAAAAAAEAIAAAACIAAABkcnMvZG93bnJldi54bWxQSwEC&#10;FAAUAAAACACHTuJA/m5lkPoBAAD1AwAADgAAAAAAAAABACAAAAAhAQAAZHJzL2Uyb0RvYy54bWxQ&#10;SwUGAAAAAAYABgBZAQAAjQUAAAAA&#10;">
                <v:fill on="f" focussize="0,0"/>
                <v:stroke weight="1pt" color="#000000" joinstyle="round"/>
                <v:imagedata o:title=""/>
                <o:lock v:ext="edit" aspectratio="f"/>
              </v:shape>
            </w:pict>
          </mc:Fallback>
        </mc:AlternateContent>
      </w:r>
      <w:r>
        <w:rPr>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43815</wp:posOffset>
                </wp:positionV>
                <wp:extent cx="5615940" cy="635"/>
                <wp:effectExtent l="0" t="0" r="0" b="0"/>
                <wp:wrapNone/>
                <wp:docPr id="4" name="自选图形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0.1pt;margin-top:3.45pt;height:0.05pt;width:442.2pt;z-index:251660288;mso-width-relative:page;mso-height-relative:page;" filled="f" stroked="t" coordsize="21600,21600" o:gfxdata="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G9VS0QAAAAQBAAAPAAAAAAAAAAEAIAAAACIAAABkcnMvZG93bnJldi54bWxQSwEC&#10;FAAUAAAACACHTuJAxUk+b/sBAAD0AwAADgAAAAAAAAABACAAAAAgAQAAZHJzL2Uyb0RvYy54bWxQ&#10;SwUGAAAAAAYABgBZAQAAjQUAAAAA&#10;">
                <v:fill on="f" focussize="0,0"/>
                <v:stroke weight="1pt" color="#000000" joinstyle="round"/>
                <v:imagedata o:title=""/>
                <o:lock v:ext="edit" aspectratio="f"/>
              </v:shape>
            </w:pict>
          </mc:Fallback>
        </mc:AlternateContent>
      </w:r>
      <w:r>
        <w:rPr>
          <w:rFonts w:hint="eastAsia"/>
          <w:spacing w:val="-4"/>
          <w:sz w:val="28"/>
          <w:szCs w:val="28"/>
        </w:rPr>
        <w:t>区财政局</w:t>
      </w:r>
    </w:p>
    <w:p w14:paraId="6A87406A">
      <w:pPr>
        <w:spacing w:line="570" w:lineRule="exact"/>
        <w:ind w:left="316" w:leftChars="100" w:right="316" w:rightChars="100" w:firstLine="0"/>
        <w:rPr>
          <w:spacing w:val="-4"/>
          <w:sz w:val="28"/>
          <w:szCs w:val="28"/>
        </w:rPr>
      </w:pPr>
      <w:r>
        <w:rPr>
          <w:sz w:val="44"/>
          <w:szCs w:val="44"/>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390525</wp:posOffset>
                </wp:positionV>
                <wp:extent cx="5615940" cy="1270"/>
                <wp:effectExtent l="0" t="0" r="0" b="0"/>
                <wp:wrapNone/>
                <wp:docPr id="1" name="自选图形 3"/>
                <wp:cNvGraphicFramePr/>
                <a:graphic xmlns:a="http://schemas.openxmlformats.org/drawingml/2006/main">
                  <a:graphicData uri="http://schemas.microsoft.com/office/word/2010/wordprocessingShape">
                    <wps:wsp>
                      <wps:cNvCnPr/>
                      <wps:spPr>
                        <a:xfrm>
                          <a:off x="0" y="0"/>
                          <a:ext cx="5615940" cy="127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0.1pt;margin-top:30.75pt;height:0.1pt;width:442.2pt;z-index:251661312;mso-width-relative:page;mso-height-relative:page;" filled="f" stroked="t" coordsize="21600,21600" o:gfxdata="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CiE8rRAAAABgEAAA8AAAAAAAAAAQAgAAAAIgAAAGRycy9kb3ducmV2LnhtbFBLAQIU&#10;ABQAAAAIAIdO4kCs6SAZ+gEAAPUDAAAOAAAAAAAAAAEAIAAAACABAABkcnMvZTJvRG9jLnhtbFBL&#10;BQYAAAAABgAGAFkBAACMBQAAAAA=&#10;">
                <v:fill on="f" focussize="0,0"/>
                <v:stroke weight="1pt" color="#000000" joinstyle="round"/>
                <v:imagedata o:title=""/>
                <o:lock v:ext="edit" aspectratio="f"/>
              </v:shape>
            </w:pict>
          </mc:Fallback>
        </mc:AlternateContent>
      </w:r>
      <w:r>
        <w:rPr>
          <w:rFonts w:hint="eastAsia"/>
          <w:spacing w:val="-4"/>
          <w:sz w:val="28"/>
          <w:szCs w:val="28"/>
        </w:rPr>
        <w:t>淮安市洪泽区发展和改革委员会办公室        2025年  月  日印发</w:t>
      </w:r>
    </w:p>
    <w:p w14:paraId="337A35A0">
      <w:pPr>
        <w:adjustRightInd w:val="0"/>
        <w:spacing w:line="600" w:lineRule="exact"/>
        <w:jc w:val="center"/>
        <w:rPr>
          <w:sz w:val="44"/>
          <w:szCs w:val="44"/>
        </w:rPr>
        <w:sectPr>
          <w:footerReference r:id="rId5" w:type="default"/>
          <w:footerReference r:id="rId6" w:type="even"/>
          <w:type w:val="continuous"/>
          <w:pgSz w:w="11906" w:h="16838"/>
          <w:pgMar w:top="1871" w:right="1474" w:bottom="1871" w:left="1588" w:header="851" w:footer="1304" w:gutter="0"/>
          <w:paperSrc w:first="15" w:other="15"/>
          <w:pgNumType w:start="1"/>
          <w:cols w:space="720" w:num="1"/>
          <w:docGrid w:type="linesAndChars" w:linePitch="590" w:charSpace="-1024"/>
        </w:sectPr>
      </w:pPr>
    </w:p>
    <w:p w14:paraId="1546BA65">
      <w:pPr>
        <w:spacing w:line="560" w:lineRule="exact"/>
        <w:ind w:firstLine="0"/>
        <w:jc w:val="left"/>
        <w:rPr>
          <w:rFonts w:ascii="黑体" w:hAnsi="黑体" w:eastAsia="黑体"/>
          <w:szCs w:val="32"/>
        </w:rPr>
      </w:pPr>
      <w:r>
        <w:rPr>
          <w:rFonts w:hint="eastAsia" w:ascii="黑体" w:hAnsi="黑体" w:eastAsia="黑体"/>
          <w:szCs w:val="32"/>
        </w:rPr>
        <w:t>附件1</w:t>
      </w:r>
    </w:p>
    <w:p w14:paraId="582BBFFD">
      <w:pPr>
        <w:spacing w:line="560" w:lineRule="exact"/>
        <w:ind w:firstLine="0"/>
        <w:jc w:val="center"/>
        <w:rPr>
          <w:rFonts w:ascii="方正小标宋_GBK" w:hAnsi="微软雅黑" w:eastAsia="方正小标宋_GBK" w:cs="宋体"/>
          <w:color w:val="000000" w:themeColor="text1"/>
          <w:sz w:val="44"/>
          <w:szCs w:val="44"/>
        </w:rPr>
      </w:pPr>
      <w:r>
        <w:rPr>
          <w:rFonts w:hint="eastAsia" w:ascii="方正小标宋_GBK" w:hAnsi="微软雅黑" w:eastAsia="方正小标宋_GBK" w:cs="宋体"/>
          <w:color w:val="000000" w:themeColor="text1"/>
          <w:sz w:val="44"/>
          <w:szCs w:val="44"/>
        </w:rPr>
        <w:t>淮安市洪泽区殡葬基本服务项目清单（试行）</w:t>
      </w:r>
    </w:p>
    <w:tbl>
      <w:tblPr>
        <w:tblStyle w:val="16"/>
        <w:tblW w:w="1519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29"/>
        <w:gridCol w:w="1921"/>
        <w:gridCol w:w="3540"/>
        <w:gridCol w:w="1033"/>
        <w:gridCol w:w="1320"/>
        <w:gridCol w:w="2139"/>
        <w:gridCol w:w="1284"/>
        <w:gridCol w:w="2926"/>
      </w:tblGrid>
      <w:tr w14:paraId="580A5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1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FD5400">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序号</w:t>
            </w:r>
          </w:p>
        </w:tc>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EBD79E">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服务项目</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81E7D5">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服务内容</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746C3C">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计费</w:t>
            </w:r>
          </w:p>
          <w:p w14:paraId="6B6DA63E">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单位</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FFA2E2">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价格管理形式</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414CA8">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收费标准</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82F144">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是否惠民殡葬政策</w:t>
            </w: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D8D017">
            <w:pPr>
              <w:spacing w:line="260" w:lineRule="exact"/>
              <w:ind w:firstLine="0"/>
              <w:jc w:val="center"/>
              <w:rPr>
                <w:rFonts w:ascii="黑体" w:hAnsi="黑体" w:eastAsia="黑体" w:cs="宋体"/>
                <w:color w:val="000000" w:themeColor="text1"/>
                <w:sz w:val="24"/>
                <w:szCs w:val="24"/>
              </w:rPr>
            </w:pPr>
            <w:r>
              <w:rPr>
                <w:rFonts w:hint="eastAsia" w:ascii="黑体" w:hAnsi="黑体" w:eastAsia="黑体" w:cs="宋体"/>
                <w:color w:val="000000" w:themeColor="text1"/>
                <w:sz w:val="24"/>
                <w:szCs w:val="24"/>
              </w:rPr>
              <w:t>备注</w:t>
            </w:r>
          </w:p>
        </w:tc>
      </w:tr>
      <w:tr w14:paraId="47ADF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5" w:hRule="atLeast"/>
        </w:trPr>
        <w:tc>
          <w:tcPr>
            <w:tcW w:w="1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009808">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1</w:t>
            </w:r>
          </w:p>
        </w:tc>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42C56C">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遗体接运</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04AC19">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属地殡仪馆服务范围的正常（特殊）遗体接运。含遗体的收殓、抬尸、装卸、运输、接运消毒、接尸袋等基本服务和用品</w:t>
            </w:r>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DECD63">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具</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F49942">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789F64">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不超过3</w:t>
            </w:r>
            <w:r>
              <w:rPr>
                <w:rFonts w:hint="eastAsia" w:ascii="Times New Roman" w:eastAsia="仿宋_GB2312"/>
                <w:color w:val="000000" w:themeColor="text1"/>
                <w:sz w:val="21"/>
                <w:szCs w:val="21"/>
              </w:rPr>
              <w:t>3</w:t>
            </w:r>
            <w:r>
              <w:rPr>
                <w:rFonts w:ascii="Times New Roman" w:eastAsia="仿宋_GB2312"/>
                <w:color w:val="000000" w:themeColor="text1"/>
                <w:sz w:val="21"/>
                <w:szCs w:val="21"/>
              </w:rPr>
              <w:t>0元</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27A721">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是</w:t>
            </w: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22CE96">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 xml:space="preserve">惠民殡葬政策按相关文件规定执行。   </w:t>
            </w:r>
          </w:p>
        </w:tc>
      </w:tr>
      <w:tr w14:paraId="4A0EC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1029" w:type="dxa"/>
            <w:vMerge w:val="restart"/>
            <w:tcBorders>
              <w:top w:val="single" w:color="000000" w:themeColor="text1" w:sz="4" w:space="0"/>
              <w:left w:val="single" w:color="000000" w:themeColor="text1" w:sz="4" w:space="0"/>
              <w:right w:val="single" w:color="000000" w:themeColor="text1" w:sz="4" w:space="0"/>
            </w:tcBorders>
            <w:vAlign w:val="center"/>
          </w:tcPr>
          <w:p w14:paraId="67AD9F19">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2</w:t>
            </w:r>
          </w:p>
        </w:tc>
        <w:tc>
          <w:tcPr>
            <w:tcW w:w="1921" w:type="dxa"/>
            <w:vMerge w:val="restart"/>
            <w:tcBorders>
              <w:top w:val="single" w:color="000000" w:themeColor="text1" w:sz="4" w:space="0"/>
              <w:left w:val="single" w:color="000000" w:themeColor="text1" w:sz="4" w:space="0"/>
              <w:right w:val="single" w:color="000000" w:themeColor="text1" w:sz="4" w:space="0"/>
            </w:tcBorders>
            <w:vAlign w:val="center"/>
          </w:tcPr>
          <w:p w14:paraId="38DCA44A">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遗体存放</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2F56A8">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含正常（特殊）遗体的组合式（连体柜）冷藏、独立柜冷藏</w:t>
            </w:r>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D78BE2">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天</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DB822E">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485A25">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不超过100元</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440399">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是</w:t>
            </w: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26B431">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1.惠民殡葬政策按相关文件规定执行。</w:t>
            </w:r>
          </w:p>
          <w:p w14:paraId="02B3B1B3">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2.不足12小时按半天收费。</w:t>
            </w:r>
            <w:r>
              <w:rPr>
                <w:rFonts w:ascii="Times New Roman" w:eastAsia="仿宋_GB2312"/>
                <w:color w:val="000000" w:themeColor="text1"/>
                <w:szCs w:val="21"/>
              </w:rPr>
              <w:t xml:space="preserve">                  </w:t>
            </w:r>
          </w:p>
        </w:tc>
      </w:tr>
      <w:tr w14:paraId="59DAE7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4" w:hRule="atLeast"/>
        </w:trPr>
        <w:tc>
          <w:tcPr>
            <w:tcW w:w="1029" w:type="dxa"/>
            <w:vMerge w:val="continue"/>
            <w:tcBorders>
              <w:left w:val="single" w:color="000000" w:themeColor="text1" w:sz="4" w:space="0"/>
              <w:bottom w:val="single" w:color="000000" w:themeColor="text1" w:sz="4" w:space="0"/>
              <w:right w:val="single" w:color="000000" w:themeColor="text1" w:sz="4" w:space="0"/>
            </w:tcBorders>
            <w:vAlign w:val="center"/>
          </w:tcPr>
          <w:p w14:paraId="7CF7DD7F">
            <w:pPr>
              <w:spacing w:line="280" w:lineRule="exact"/>
              <w:ind w:firstLine="0"/>
              <w:jc w:val="center"/>
              <w:rPr>
                <w:rFonts w:ascii="Times New Roman" w:eastAsia="仿宋_GB2312"/>
                <w:color w:val="000000" w:themeColor="text1"/>
                <w:sz w:val="21"/>
                <w:szCs w:val="21"/>
              </w:rPr>
            </w:pPr>
          </w:p>
        </w:tc>
        <w:tc>
          <w:tcPr>
            <w:tcW w:w="1921" w:type="dxa"/>
            <w:vMerge w:val="continue"/>
            <w:tcBorders>
              <w:left w:val="single" w:color="000000" w:themeColor="text1" w:sz="4" w:space="0"/>
              <w:bottom w:val="single" w:color="000000" w:themeColor="text1" w:sz="4" w:space="0"/>
              <w:right w:val="single" w:color="000000" w:themeColor="text1" w:sz="4" w:space="0"/>
            </w:tcBorders>
            <w:vAlign w:val="center"/>
          </w:tcPr>
          <w:p w14:paraId="55A9AE61">
            <w:pPr>
              <w:spacing w:line="280" w:lineRule="exact"/>
              <w:ind w:firstLine="0"/>
              <w:jc w:val="center"/>
              <w:rPr>
                <w:rFonts w:ascii="Times New Roman" w:eastAsia="仿宋_GB2312"/>
                <w:color w:val="000000" w:themeColor="text1"/>
                <w:sz w:val="21"/>
                <w:szCs w:val="21"/>
              </w:rPr>
            </w:pP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38D187">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含正常（特殊）遗体的单体冰柜冷藏、独立存放空间</w:t>
            </w:r>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0A3598">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天</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60F3C6">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17EE6A">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不超过200元</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23E83C">
            <w:pPr>
              <w:spacing w:line="280" w:lineRule="exact"/>
              <w:ind w:firstLine="0"/>
              <w:jc w:val="center"/>
              <w:rPr>
                <w:rFonts w:ascii="Times New Roman" w:eastAsia="仿宋_GB2312"/>
                <w:color w:val="000000" w:themeColor="text1"/>
                <w:sz w:val="21"/>
                <w:szCs w:val="21"/>
              </w:rPr>
            </w:pP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8E1122">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不足12小时按半天收费。</w:t>
            </w:r>
          </w:p>
        </w:tc>
      </w:tr>
      <w:tr w14:paraId="74D1D8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6" w:hRule="atLeast"/>
        </w:trPr>
        <w:tc>
          <w:tcPr>
            <w:tcW w:w="1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F8652B">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3</w:t>
            </w:r>
          </w:p>
        </w:tc>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672CA9">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穿（脱）衣</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4EC917">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含擦身、脱衣、穿衣</w:t>
            </w:r>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E55D4E">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具</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F75453">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B95AD5">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不超过</w:t>
            </w:r>
            <w:r>
              <w:rPr>
                <w:rFonts w:hint="eastAsia" w:ascii="Times New Roman" w:eastAsia="仿宋_GB2312"/>
                <w:color w:val="000000" w:themeColor="text1"/>
                <w:sz w:val="21"/>
                <w:szCs w:val="21"/>
              </w:rPr>
              <w:t>40</w:t>
            </w:r>
            <w:r>
              <w:rPr>
                <w:rFonts w:ascii="Times New Roman" w:eastAsia="仿宋_GB2312"/>
                <w:color w:val="000000" w:themeColor="text1"/>
                <w:sz w:val="21"/>
                <w:szCs w:val="21"/>
              </w:rPr>
              <w:t>元</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9FFC10">
            <w:pPr>
              <w:spacing w:line="280" w:lineRule="exact"/>
              <w:ind w:firstLine="0"/>
              <w:jc w:val="center"/>
              <w:rPr>
                <w:rFonts w:ascii="Times New Roman" w:eastAsia="仿宋_GB2312"/>
                <w:color w:val="000000" w:themeColor="text1"/>
                <w:sz w:val="21"/>
                <w:szCs w:val="21"/>
              </w:rPr>
            </w:pP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83CB0C">
            <w:pPr>
              <w:spacing w:line="280" w:lineRule="exact"/>
              <w:ind w:firstLine="0"/>
              <w:jc w:val="center"/>
              <w:rPr>
                <w:rFonts w:ascii="Times New Roman" w:eastAsia="仿宋_GB2312"/>
                <w:color w:val="000000" w:themeColor="text1"/>
                <w:sz w:val="21"/>
                <w:szCs w:val="21"/>
              </w:rPr>
            </w:pPr>
          </w:p>
        </w:tc>
      </w:tr>
      <w:tr w14:paraId="4F637E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2" w:hRule="atLeast"/>
        </w:trPr>
        <w:tc>
          <w:tcPr>
            <w:tcW w:w="1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664ADD">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4</w:t>
            </w:r>
          </w:p>
        </w:tc>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5F9ED3">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遗容整理</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15FED50">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含脸部清洗，敷干；嘴巴、眼帘整合复位；眼眶，睫毛、脸腮修饰、面部上粉、嘴唇描色，整理衣装、头发、消毒等服务</w:t>
            </w:r>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120CE2">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具</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C88438">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F2A7A3">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不超过</w:t>
            </w:r>
            <w:r>
              <w:rPr>
                <w:rFonts w:hint="eastAsia" w:ascii="Times New Roman" w:eastAsia="仿宋_GB2312"/>
                <w:color w:val="000000" w:themeColor="text1"/>
                <w:sz w:val="21"/>
                <w:szCs w:val="21"/>
              </w:rPr>
              <w:t>40</w:t>
            </w:r>
            <w:r>
              <w:rPr>
                <w:rFonts w:ascii="Times New Roman" w:eastAsia="仿宋_GB2312"/>
                <w:color w:val="000000" w:themeColor="text1"/>
                <w:sz w:val="21"/>
                <w:szCs w:val="21"/>
              </w:rPr>
              <w:t>元</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57B298">
            <w:pPr>
              <w:spacing w:line="280" w:lineRule="exact"/>
              <w:ind w:firstLine="0"/>
              <w:jc w:val="center"/>
              <w:rPr>
                <w:rFonts w:ascii="Times New Roman" w:eastAsia="仿宋_GB2312"/>
                <w:color w:val="000000" w:themeColor="text1"/>
                <w:sz w:val="21"/>
                <w:szCs w:val="21"/>
              </w:rPr>
            </w:pP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DF4D0A">
            <w:pPr>
              <w:spacing w:line="280" w:lineRule="exact"/>
              <w:ind w:firstLine="0"/>
              <w:jc w:val="center"/>
              <w:rPr>
                <w:rFonts w:ascii="Times New Roman" w:eastAsia="仿宋_GB2312"/>
                <w:color w:val="000000" w:themeColor="text1"/>
                <w:sz w:val="21"/>
                <w:szCs w:val="21"/>
              </w:rPr>
            </w:pPr>
          </w:p>
        </w:tc>
      </w:tr>
      <w:tr w14:paraId="65DDD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trPr>
        <w:tc>
          <w:tcPr>
            <w:tcW w:w="1029" w:type="dxa"/>
            <w:vMerge w:val="restart"/>
            <w:tcBorders>
              <w:top w:val="single" w:color="000000" w:themeColor="text1" w:sz="4" w:space="0"/>
              <w:left w:val="single" w:color="000000" w:themeColor="text1" w:sz="4" w:space="0"/>
              <w:right w:val="single" w:color="000000" w:themeColor="text1" w:sz="4" w:space="0"/>
            </w:tcBorders>
            <w:vAlign w:val="center"/>
          </w:tcPr>
          <w:p w14:paraId="229151E4">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5</w:t>
            </w:r>
          </w:p>
        </w:tc>
        <w:tc>
          <w:tcPr>
            <w:tcW w:w="1921" w:type="dxa"/>
            <w:vMerge w:val="restart"/>
            <w:tcBorders>
              <w:top w:val="single" w:color="000000" w:themeColor="text1" w:sz="4" w:space="0"/>
              <w:left w:val="single" w:color="000000" w:themeColor="text1" w:sz="4" w:space="0"/>
              <w:right w:val="single" w:color="000000" w:themeColor="text1" w:sz="4" w:space="0"/>
            </w:tcBorders>
            <w:vAlign w:val="center"/>
          </w:tcPr>
          <w:p w14:paraId="0DD68B1B">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告别厅（守灵厅）租用</w:t>
            </w:r>
          </w:p>
        </w:tc>
        <w:tc>
          <w:tcPr>
            <w:tcW w:w="3540" w:type="dxa"/>
            <w:vMerge w:val="restart"/>
            <w:tcBorders>
              <w:top w:val="single" w:color="000000" w:themeColor="text1" w:sz="4" w:space="0"/>
              <w:left w:val="single" w:color="000000" w:themeColor="text1" w:sz="4" w:space="0"/>
              <w:right w:val="single" w:color="000000" w:themeColor="text1" w:sz="4" w:space="0"/>
            </w:tcBorders>
            <w:vAlign w:val="center"/>
          </w:tcPr>
          <w:p w14:paraId="2AA1C8D5">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告别厅：含殡葬礼仪引导服务、司仪主持、电子屏、门头花坊布置、厅内横幅、空调、电脑、音响、灯光、哀乐播放、布幔装饰、绢绸花圈、遗体抬运、遗体告别床、遗体瞻仰馆、挂遗像、跪垫、小白花、主持台等基本配置</w:t>
            </w:r>
            <w:r>
              <w:rPr>
                <w:rFonts w:hint="eastAsia" w:ascii="Times New Roman" w:eastAsia="仿宋_GB2312"/>
                <w:color w:val="000000" w:themeColor="text1"/>
                <w:sz w:val="21"/>
                <w:szCs w:val="21"/>
              </w:rPr>
              <w:t>。</w:t>
            </w:r>
          </w:p>
        </w:tc>
        <w:tc>
          <w:tcPr>
            <w:tcW w:w="1033" w:type="dxa"/>
            <w:vMerge w:val="restart"/>
            <w:tcBorders>
              <w:top w:val="single" w:color="000000" w:themeColor="text1" w:sz="4" w:space="0"/>
              <w:left w:val="single" w:color="000000" w:themeColor="text1" w:sz="4" w:space="0"/>
              <w:right w:val="single" w:color="000000" w:themeColor="text1" w:sz="4" w:space="0"/>
            </w:tcBorders>
            <w:vAlign w:val="center"/>
          </w:tcPr>
          <w:p w14:paraId="2A0CFDF7">
            <w:pPr>
              <w:spacing w:line="280" w:lineRule="exact"/>
              <w:ind w:firstLine="101" w:firstLineChars="49"/>
              <w:rPr>
                <w:rFonts w:ascii="Times New Roman" w:eastAsia="仿宋_GB2312"/>
                <w:color w:val="000000" w:themeColor="text1"/>
                <w:sz w:val="21"/>
                <w:szCs w:val="21"/>
              </w:rPr>
            </w:pPr>
            <w:r>
              <w:rPr>
                <w:rFonts w:ascii="Times New Roman" w:eastAsia="仿宋_GB2312"/>
                <w:color w:val="000000" w:themeColor="text1"/>
                <w:sz w:val="21"/>
                <w:szCs w:val="21"/>
              </w:rPr>
              <w:t>场次</w:t>
            </w:r>
          </w:p>
        </w:tc>
        <w:tc>
          <w:tcPr>
            <w:tcW w:w="1320" w:type="dxa"/>
            <w:vMerge w:val="restart"/>
            <w:tcBorders>
              <w:top w:val="single" w:color="000000" w:themeColor="text1" w:sz="4" w:space="0"/>
              <w:left w:val="single" w:color="000000" w:themeColor="text1" w:sz="4" w:space="0"/>
              <w:right w:val="single" w:color="000000" w:themeColor="text1" w:sz="4" w:space="0"/>
            </w:tcBorders>
            <w:vAlign w:val="center"/>
          </w:tcPr>
          <w:p w14:paraId="6FE9669A">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5B2B61">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小厅</w:t>
            </w:r>
            <w:r>
              <w:rPr>
                <w:rFonts w:hint="eastAsia" w:ascii="Times New Roman" w:eastAsia="仿宋_GB2312"/>
                <w:color w:val="000000" w:themeColor="text1"/>
                <w:sz w:val="21"/>
                <w:szCs w:val="21"/>
              </w:rPr>
              <w:t>（</w:t>
            </w:r>
            <w:r>
              <w:rPr>
                <w:rFonts w:ascii="Times New Roman" w:eastAsia="仿宋_GB2312"/>
                <w:color w:val="000000" w:themeColor="text1"/>
                <w:sz w:val="21"/>
                <w:szCs w:val="21"/>
              </w:rPr>
              <w:t>小于100平方米</w:t>
            </w:r>
            <w:r>
              <w:rPr>
                <w:rFonts w:hint="eastAsia" w:ascii="Times New Roman" w:eastAsia="仿宋_GB2312"/>
                <w:color w:val="000000" w:themeColor="text1"/>
                <w:sz w:val="21"/>
                <w:szCs w:val="21"/>
              </w:rPr>
              <w:t>）</w:t>
            </w:r>
            <w:r>
              <w:rPr>
                <w:rFonts w:ascii="Times New Roman" w:eastAsia="仿宋_GB2312"/>
                <w:color w:val="000000" w:themeColor="text1"/>
                <w:sz w:val="21"/>
                <w:szCs w:val="21"/>
              </w:rPr>
              <w:t>：不超过200元</w:t>
            </w:r>
          </w:p>
        </w:tc>
        <w:tc>
          <w:tcPr>
            <w:tcW w:w="1284" w:type="dxa"/>
            <w:tcBorders>
              <w:top w:val="single" w:color="000000" w:themeColor="text1" w:sz="4" w:space="0"/>
              <w:left w:val="single" w:color="000000" w:themeColor="text1" w:sz="4" w:space="0"/>
              <w:right w:val="single" w:color="000000" w:themeColor="text1" w:sz="4" w:space="0"/>
            </w:tcBorders>
            <w:vAlign w:val="center"/>
          </w:tcPr>
          <w:p w14:paraId="45FBC78C">
            <w:pPr>
              <w:spacing w:line="280" w:lineRule="exact"/>
              <w:ind w:firstLine="0"/>
              <w:jc w:val="center"/>
              <w:rPr>
                <w:rFonts w:ascii="Times New Roman" w:eastAsia="仿宋_GB2312"/>
                <w:color w:val="000000" w:themeColor="text1"/>
                <w:sz w:val="21"/>
                <w:szCs w:val="21"/>
              </w:rPr>
            </w:pPr>
          </w:p>
        </w:tc>
        <w:tc>
          <w:tcPr>
            <w:tcW w:w="2926" w:type="dxa"/>
            <w:vMerge w:val="restart"/>
            <w:tcBorders>
              <w:top w:val="single" w:color="000000" w:themeColor="text1" w:sz="4" w:space="0"/>
              <w:left w:val="single" w:color="000000" w:themeColor="text1" w:sz="4" w:space="0"/>
              <w:right w:val="single" w:color="000000" w:themeColor="text1" w:sz="4" w:space="0"/>
            </w:tcBorders>
            <w:vAlign w:val="center"/>
          </w:tcPr>
          <w:p w14:paraId="757EDC1D">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 xml:space="preserve">1.配备等候凳椅、服务人员，提供茶水服务免费。                   </w:t>
            </w:r>
          </w:p>
          <w:p w14:paraId="22EF9897">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2.守灵</w:t>
            </w:r>
            <w:r>
              <w:rPr>
                <w:rFonts w:hint="eastAsia" w:ascii="Times New Roman" w:eastAsia="仿宋_GB2312"/>
                <w:color w:val="000000" w:themeColor="text1"/>
                <w:sz w:val="21"/>
                <w:szCs w:val="21"/>
              </w:rPr>
              <w:t>厅</w:t>
            </w:r>
            <w:r>
              <w:rPr>
                <w:rFonts w:ascii="Times New Roman" w:eastAsia="仿宋_GB2312"/>
                <w:color w:val="000000" w:themeColor="text1"/>
                <w:sz w:val="21"/>
                <w:szCs w:val="21"/>
              </w:rPr>
              <w:t>免费服务内容以公示为准，免费金额按相关文件规定执行。</w:t>
            </w:r>
          </w:p>
          <w:p w14:paraId="2D6228B0">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 xml:space="preserve">  </w:t>
            </w:r>
          </w:p>
        </w:tc>
      </w:tr>
      <w:tr w14:paraId="453C77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1029" w:type="dxa"/>
            <w:vMerge w:val="continue"/>
            <w:tcBorders>
              <w:left w:val="single" w:color="000000" w:themeColor="text1" w:sz="4" w:space="0"/>
              <w:right w:val="single" w:color="000000" w:themeColor="text1" w:sz="4" w:space="0"/>
            </w:tcBorders>
            <w:vAlign w:val="center"/>
          </w:tcPr>
          <w:p w14:paraId="5FACE752">
            <w:pPr>
              <w:spacing w:line="280" w:lineRule="exact"/>
              <w:ind w:firstLine="0"/>
              <w:jc w:val="center"/>
              <w:rPr>
                <w:rFonts w:ascii="Times New Roman" w:eastAsia="仿宋_GB2312"/>
                <w:color w:val="000000" w:themeColor="text1"/>
                <w:sz w:val="21"/>
                <w:szCs w:val="21"/>
              </w:rPr>
            </w:pPr>
          </w:p>
        </w:tc>
        <w:tc>
          <w:tcPr>
            <w:tcW w:w="1921" w:type="dxa"/>
            <w:vMerge w:val="continue"/>
            <w:tcBorders>
              <w:left w:val="single" w:color="000000" w:themeColor="text1" w:sz="4" w:space="0"/>
              <w:right w:val="single" w:color="000000" w:themeColor="text1" w:sz="4" w:space="0"/>
            </w:tcBorders>
            <w:vAlign w:val="center"/>
          </w:tcPr>
          <w:p w14:paraId="771BE274">
            <w:pPr>
              <w:spacing w:line="280" w:lineRule="exact"/>
              <w:ind w:firstLine="0"/>
              <w:jc w:val="center"/>
              <w:rPr>
                <w:rFonts w:ascii="Times New Roman" w:eastAsia="仿宋_GB2312"/>
                <w:color w:val="000000" w:themeColor="text1"/>
                <w:sz w:val="21"/>
                <w:szCs w:val="21"/>
              </w:rPr>
            </w:pPr>
          </w:p>
        </w:tc>
        <w:tc>
          <w:tcPr>
            <w:tcW w:w="3540" w:type="dxa"/>
            <w:vMerge w:val="continue"/>
            <w:tcBorders>
              <w:left w:val="single" w:color="000000" w:themeColor="text1" w:sz="4" w:space="0"/>
              <w:right w:val="single" w:color="000000" w:themeColor="text1" w:sz="4" w:space="0"/>
            </w:tcBorders>
            <w:vAlign w:val="center"/>
          </w:tcPr>
          <w:p w14:paraId="2721CA53">
            <w:pPr>
              <w:spacing w:line="280" w:lineRule="exact"/>
              <w:ind w:firstLine="0"/>
              <w:jc w:val="left"/>
              <w:rPr>
                <w:rFonts w:ascii="Times New Roman" w:eastAsia="仿宋_GB2312"/>
                <w:color w:val="000000" w:themeColor="text1"/>
                <w:sz w:val="21"/>
                <w:szCs w:val="21"/>
              </w:rPr>
            </w:pPr>
          </w:p>
        </w:tc>
        <w:tc>
          <w:tcPr>
            <w:tcW w:w="1033" w:type="dxa"/>
            <w:vMerge w:val="continue"/>
            <w:tcBorders>
              <w:left w:val="single" w:color="000000" w:themeColor="text1" w:sz="4" w:space="0"/>
              <w:right w:val="single" w:color="000000" w:themeColor="text1" w:sz="4" w:space="0"/>
            </w:tcBorders>
            <w:vAlign w:val="center"/>
          </w:tcPr>
          <w:p w14:paraId="1A09AE2D">
            <w:pPr>
              <w:spacing w:line="280" w:lineRule="exact"/>
              <w:ind w:firstLine="0"/>
              <w:rPr>
                <w:rFonts w:ascii="Times New Roman" w:eastAsia="仿宋_GB2312"/>
                <w:color w:val="000000" w:themeColor="text1"/>
                <w:sz w:val="21"/>
                <w:szCs w:val="21"/>
              </w:rPr>
            </w:pPr>
          </w:p>
        </w:tc>
        <w:tc>
          <w:tcPr>
            <w:tcW w:w="1320" w:type="dxa"/>
            <w:vMerge w:val="continue"/>
            <w:tcBorders>
              <w:left w:val="single" w:color="000000" w:themeColor="text1" w:sz="4" w:space="0"/>
              <w:right w:val="single" w:color="000000" w:themeColor="text1" w:sz="4" w:space="0"/>
            </w:tcBorders>
          </w:tcPr>
          <w:p w14:paraId="3A6FCC74">
            <w:pPr>
              <w:spacing w:line="280" w:lineRule="exact"/>
              <w:ind w:firstLine="0"/>
              <w:jc w:val="left"/>
              <w:rPr>
                <w:rFonts w:ascii="Times New Roman" w:eastAsia="仿宋_GB2312"/>
                <w:color w:val="000000" w:themeColor="text1"/>
                <w:sz w:val="21"/>
                <w:szCs w:val="21"/>
              </w:rPr>
            </w:pP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BE4C64">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中厅</w:t>
            </w:r>
            <w:r>
              <w:rPr>
                <w:rFonts w:hint="eastAsia" w:ascii="Times New Roman" w:eastAsia="仿宋_GB2312"/>
                <w:color w:val="000000" w:themeColor="text1"/>
                <w:sz w:val="21"/>
                <w:szCs w:val="21"/>
              </w:rPr>
              <w:t>（</w:t>
            </w:r>
            <w:r>
              <w:rPr>
                <w:rFonts w:ascii="Times New Roman" w:eastAsia="仿宋_GB2312"/>
                <w:color w:val="000000" w:themeColor="text1"/>
                <w:sz w:val="21"/>
                <w:szCs w:val="21"/>
              </w:rPr>
              <w:t>100-150平方米</w:t>
            </w:r>
            <w:r>
              <w:rPr>
                <w:rFonts w:hint="eastAsia" w:ascii="Times New Roman" w:eastAsia="仿宋_GB2312"/>
                <w:color w:val="000000" w:themeColor="text1"/>
                <w:sz w:val="21"/>
                <w:szCs w:val="21"/>
              </w:rPr>
              <w:t>）</w:t>
            </w:r>
            <w:r>
              <w:rPr>
                <w:rFonts w:ascii="Times New Roman" w:eastAsia="仿宋_GB2312"/>
                <w:color w:val="000000" w:themeColor="text1"/>
                <w:sz w:val="21"/>
                <w:szCs w:val="21"/>
              </w:rPr>
              <w:t>：不超过500元</w:t>
            </w:r>
          </w:p>
        </w:tc>
        <w:tc>
          <w:tcPr>
            <w:tcW w:w="1284" w:type="dxa"/>
            <w:tcBorders>
              <w:left w:val="single" w:color="000000" w:themeColor="text1" w:sz="4" w:space="0"/>
              <w:right w:val="single" w:color="000000" w:themeColor="text1" w:sz="4" w:space="0"/>
            </w:tcBorders>
            <w:vAlign w:val="center"/>
          </w:tcPr>
          <w:p w14:paraId="042F273D">
            <w:pPr>
              <w:spacing w:line="280" w:lineRule="exact"/>
              <w:ind w:firstLine="0"/>
              <w:jc w:val="center"/>
              <w:rPr>
                <w:rFonts w:ascii="Times New Roman" w:eastAsia="仿宋_GB2312"/>
                <w:color w:val="000000" w:themeColor="text1"/>
                <w:sz w:val="21"/>
                <w:szCs w:val="21"/>
              </w:rPr>
            </w:pPr>
          </w:p>
        </w:tc>
        <w:tc>
          <w:tcPr>
            <w:tcW w:w="2926" w:type="dxa"/>
            <w:vMerge w:val="continue"/>
            <w:tcBorders>
              <w:left w:val="single" w:color="000000" w:themeColor="text1" w:sz="4" w:space="0"/>
              <w:right w:val="single" w:color="000000" w:themeColor="text1" w:sz="4" w:space="0"/>
            </w:tcBorders>
            <w:vAlign w:val="center"/>
          </w:tcPr>
          <w:p w14:paraId="2175C908">
            <w:pPr>
              <w:spacing w:line="280" w:lineRule="exact"/>
              <w:jc w:val="left"/>
              <w:rPr>
                <w:rFonts w:ascii="Times New Roman" w:eastAsia="仿宋_GB2312"/>
                <w:color w:val="000000" w:themeColor="text1"/>
                <w:sz w:val="21"/>
                <w:szCs w:val="21"/>
              </w:rPr>
            </w:pPr>
          </w:p>
        </w:tc>
      </w:tr>
      <w:tr w14:paraId="4E9AD0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7" w:hRule="atLeast"/>
        </w:trPr>
        <w:tc>
          <w:tcPr>
            <w:tcW w:w="1029" w:type="dxa"/>
            <w:vMerge w:val="continue"/>
            <w:tcBorders>
              <w:left w:val="single" w:color="000000" w:themeColor="text1" w:sz="4" w:space="0"/>
              <w:right w:val="single" w:color="000000" w:themeColor="text1" w:sz="4" w:space="0"/>
            </w:tcBorders>
            <w:vAlign w:val="center"/>
          </w:tcPr>
          <w:p w14:paraId="41DD7464">
            <w:pPr>
              <w:spacing w:line="280" w:lineRule="exact"/>
              <w:ind w:firstLine="0"/>
              <w:jc w:val="center"/>
              <w:rPr>
                <w:rFonts w:ascii="Times New Roman" w:eastAsia="仿宋_GB2312"/>
                <w:color w:val="000000" w:themeColor="text1"/>
                <w:sz w:val="21"/>
                <w:szCs w:val="21"/>
              </w:rPr>
            </w:pPr>
          </w:p>
        </w:tc>
        <w:tc>
          <w:tcPr>
            <w:tcW w:w="1921" w:type="dxa"/>
            <w:vMerge w:val="continue"/>
            <w:tcBorders>
              <w:left w:val="single" w:color="000000" w:themeColor="text1" w:sz="4" w:space="0"/>
              <w:right w:val="single" w:color="000000" w:themeColor="text1" w:sz="4" w:space="0"/>
            </w:tcBorders>
            <w:vAlign w:val="center"/>
          </w:tcPr>
          <w:p w14:paraId="4415A1FE">
            <w:pPr>
              <w:spacing w:line="280" w:lineRule="exact"/>
              <w:ind w:firstLine="0"/>
              <w:jc w:val="center"/>
              <w:rPr>
                <w:rFonts w:ascii="Times New Roman" w:eastAsia="仿宋_GB2312"/>
                <w:color w:val="000000" w:themeColor="text1"/>
                <w:sz w:val="21"/>
                <w:szCs w:val="21"/>
              </w:rPr>
            </w:pPr>
          </w:p>
        </w:tc>
        <w:tc>
          <w:tcPr>
            <w:tcW w:w="3540" w:type="dxa"/>
            <w:vMerge w:val="continue"/>
            <w:tcBorders>
              <w:left w:val="single" w:color="000000" w:themeColor="text1" w:sz="4" w:space="0"/>
              <w:right w:val="single" w:color="000000" w:themeColor="text1" w:sz="4" w:space="0"/>
            </w:tcBorders>
            <w:vAlign w:val="center"/>
          </w:tcPr>
          <w:p w14:paraId="57568F67">
            <w:pPr>
              <w:spacing w:line="280" w:lineRule="exact"/>
              <w:ind w:firstLine="0"/>
              <w:jc w:val="left"/>
              <w:rPr>
                <w:rFonts w:ascii="Times New Roman" w:eastAsia="仿宋_GB2312"/>
                <w:color w:val="000000" w:themeColor="text1"/>
                <w:sz w:val="21"/>
                <w:szCs w:val="21"/>
              </w:rPr>
            </w:pPr>
          </w:p>
        </w:tc>
        <w:tc>
          <w:tcPr>
            <w:tcW w:w="1033" w:type="dxa"/>
            <w:vMerge w:val="continue"/>
            <w:tcBorders>
              <w:left w:val="single" w:color="000000" w:themeColor="text1" w:sz="4" w:space="0"/>
              <w:right w:val="single" w:color="000000" w:themeColor="text1" w:sz="4" w:space="0"/>
            </w:tcBorders>
            <w:vAlign w:val="center"/>
          </w:tcPr>
          <w:p w14:paraId="6E22E404">
            <w:pPr>
              <w:spacing w:line="280" w:lineRule="exact"/>
              <w:ind w:firstLine="0"/>
              <w:rPr>
                <w:rFonts w:ascii="Times New Roman" w:eastAsia="仿宋_GB2312"/>
                <w:color w:val="000000" w:themeColor="text1"/>
                <w:sz w:val="21"/>
                <w:szCs w:val="21"/>
              </w:rPr>
            </w:pPr>
          </w:p>
        </w:tc>
        <w:tc>
          <w:tcPr>
            <w:tcW w:w="1320" w:type="dxa"/>
            <w:vMerge w:val="continue"/>
            <w:tcBorders>
              <w:left w:val="single" w:color="000000" w:themeColor="text1" w:sz="4" w:space="0"/>
              <w:right w:val="single" w:color="000000" w:themeColor="text1" w:sz="4" w:space="0"/>
            </w:tcBorders>
          </w:tcPr>
          <w:p w14:paraId="5754041C">
            <w:pPr>
              <w:spacing w:line="280" w:lineRule="exact"/>
              <w:ind w:firstLine="0"/>
              <w:jc w:val="left"/>
              <w:rPr>
                <w:rFonts w:ascii="Times New Roman" w:eastAsia="仿宋_GB2312"/>
                <w:color w:val="000000" w:themeColor="text1"/>
                <w:sz w:val="21"/>
                <w:szCs w:val="21"/>
              </w:rPr>
            </w:pPr>
          </w:p>
        </w:tc>
        <w:tc>
          <w:tcPr>
            <w:tcW w:w="2139" w:type="dxa"/>
            <w:tcBorders>
              <w:top w:val="single" w:color="000000" w:themeColor="text1" w:sz="4" w:space="0"/>
              <w:left w:val="single" w:color="000000" w:themeColor="text1" w:sz="4" w:space="0"/>
              <w:right w:val="single" w:color="000000" w:themeColor="text1" w:sz="4" w:space="0"/>
            </w:tcBorders>
            <w:vAlign w:val="center"/>
          </w:tcPr>
          <w:p w14:paraId="3FB49754">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大厅</w:t>
            </w:r>
            <w:r>
              <w:rPr>
                <w:rFonts w:hint="eastAsia" w:ascii="Times New Roman" w:eastAsia="仿宋_GB2312"/>
                <w:color w:val="000000" w:themeColor="text1"/>
                <w:sz w:val="21"/>
                <w:szCs w:val="21"/>
              </w:rPr>
              <w:t>（</w:t>
            </w:r>
            <w:r>
              <w:rPr>
                <w:rFonts w:ascii="Times New Roman" w:eastAsia="仿宋_GB2312"/>
                <w:color w:val="000000" w:themeColor="text1"/>
                <w:sz w:val="21"/>
                <w:szCs w:val="21"/>
              </w:rPr>
              <w:t>150平方米</w:t>
            </w:r>
            <w:r>
              <w:rPr>
                <w:rFonts w:hint="eastAsia" w:ascii="Times New Roman" w:eastAsia="仿宋_GB2312"/>
                <w:color w:val="000000" w:themeColor="text1"/>
                <w:sz w:val="21"/>
                <w:szCs w:val="21"/>
              </w:rPr>
              <w:t>以上）</w:t>
            </w:r>
            <w:r>
              <w:rPr>
                <w:rFonts w:ascii="Times New Roman" w:eastAsia="仿宋_GB2312"/>
                <w:color w:val="000000" w:themeColor="text1"/>
                <w:sz w:val="21"/>
                <w:szCs w:val="21"/>
              </w:rPr>
              <w:t>：不超过800元</w:t>
            </w:r>
          </w:p>
        </w:tc>
        <w:tc>
          <w:tcPr>
            <w:tcW w:w="1284" w:type="dxa"/>
            <w:tcBorders>
              <w:left w:val="single" w:color="000000" w:themeColor="text1" w:sz="4" w:space="0"/>
              <w:right w:val="single" w:color="000000" w:themeColor="text1" w:sz="4" w:space="0"/>
            </w:tcBorders>
            <w:vAlign w:val="center"/>
          </w:tcPr>
          <w:p w14:paraId="25AD714C">
            <w:pPr>
              <w:spacing w:line="280" w:lineRule="exact"/>
              <w:ind w:firstLine="0"/>
              <w:jc w:val="center"/>
              <w:rPr>
                <w:rFonts w:ascii="Times New Roman" w:eastAsia="仿宋_GB2312"/>
                <w:color w:val="000000" w:themeColor="text1"/>
                <w:sz w:val="21"/>
                <w:szCs w:val="21"/>
              </w:rPr>
            </w:pPr>
          </w:p>
        </w:tc>
        <w:tc>
          <w:tcPr>
            <w:tcW w:w="2926" w:type="dxa"/>
            <w:vMerge w:val="continue"/>
            <w:tcBorders>
              <w:left w:val="single" w:color="000000" w:themeColor="text1" w:sz="4" w:space="0"/>
              <w:right w:val="single" w:color="000000" w:themeColor="text1" w:sz="4" w:space="0"/>
            </w:tcBorders>
            <w:vAlign w:val="center"/>
          </w:tcPr>
          <w:p w14:paraId="7075596D">
            <w:pPr>
              <w:spacing w:line="280" w:lineRule="exact"/>
              <w:jc w:val="left"/>
              <w:rPr>
                <w:rFonts w:ascii="Times New Roman" w:eastAsia="仿宋_GB2312"/>
                <w:color w:val="000000" w:themeColor="text1"/>
                <w:sz w:val="21"/>
                <w:szCs w:val="21"/>
              </w:rPr>
            </w:pPr>
          </w:p>
        </w:tc>
      </w:tr>
      <w:tr w14:paraId="36667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 w:hRule="atLeast"/>
        </w:trPr>
        <w:tc>
          <w:tcPr>
            <w:tcW w:w="1029" w:type="dxa"/>
            <w:vMerge w:val="continue"/>
            <w:tcBorders>
              <w:left w:val="single" w:color="000000" w:themeColor="text1" w:sz="4" w:space="0"/>
              <w:bottom w:val="single" w:color="000000" w:themeColor="text1" w:sz="4" w:space="0"/>
              <w:right w:val="single" w:color="000000" w:themeColor="text1" w:sz="4" w:space="0"/>
            </w:tcBorders>
            <w:vAlign w:val="center"/>
          </w:tcPr>
          <w:p w14:paraId="69EE3E2C">
            <w:pPr>
              <w:spacing w:line="280" w:lineRule="exact"/>
              <w:ind w:firstLine="0"/>
              <w:jc w:val="center"/>
              <w:rPr>
                <w:rFonts w:ascii="Times New Roman" w:eastAsia="仿宋_GB2312"/>
                <w:color w:val="000000" w:themeColor="text1"/>
                <w:sz w:val="21"/>
                <w:szCs w:val="21"/>
              </w:rPr>
            </w:pPr>
          </w:p>
        </w:tc>
        <w:tc>
          <w:tcPr>
            <w:tcW w:w="1921" w:type="dxa"/>
            <w:vMerge w:val="continue"/>
            <w:tcBorders>
              <w:left w:val="single" w:color="000000" w:themeColor="text1" w:sz="4" w:space="0"/>
              <w:bottom w:val="single" w:color="000000" w:themeColor="text1" w:sz="4" w:space="0"/>
              <w:right w:val="single" w:color="000000" w:themeColor="text1" w:sz="4" w:space="0"/>
            </w:tcBorders>
            <w:vAlign w:val="center"/>
          </w:tcPr>
          <w:p w14:paraId="1E392EE3">
            <w:pPr>
              <w:spacing w:line="280" w:lineRule="exact"/>
              <w:ind w:firstLine="0"/>
              <w:jc w:val="center"/>
              <w:rPr>
                <w:rFonts w:ascii="Times New Roman" w:eastAsia="仿宋_GB2312"/>
                <w:color w:val="000000" w:themeColor="text1"/>
                <w:sz w:val="21"/>
                <w:szCs w:val="21"/>
              </w:rPr>
            </w:pPr>
          </w:p>
        </w:tc>
        <w:tc>
          <w:tcPr>
            <w:tcW w:w="3540" w:type="dxa"/>
            <w:tcBorders>
              <w:left w:val="single" w:color="000000" w:themeColor="text1" w:sz="4" w:space="0"/>
              <w:bottom w:val="single" w:color="000000" w:themeColor="text1" w:sz="4" w:space="0"/>
              <w:right w:val="single" w:color="000000" w:themeColor="text1" w:sz="4" w:space="0"/>
            </w:tcBorders>
            <w:vAlign w:val="center"/>
          </w:tcPr>
          <w:p w14:paraId="2E4DF7EA">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守灵厅：含住宿间、卫生间、会客室、空调、桌椅、饮水机、供桌等基本配置和用品</w:t>
            </w:r>
            <w:r>
              <w:rPr>
                <w:rFonts w:hint="eastAsia" w:ascii="Times New Roman" w:eastAsia="仿宋_GB2312"/>
                <w:color w:val="000000" w:themeColor="text1"/>
                <w:sz w:val="21"/>
                <w:szCs w:val="21"/>
              </w:rPr>
              <w:t>。</w:t>
            </w:r>
          </w:p>
        </w:tc>
        <w:tc>
          <w:tcPr>
            <w:tcW w:w="1033" w:type="dxa"/>
            <w:vMerge w:val="continue"/>
            <w:tcBorders>
              <w:left w:val="single" w:color="000000" w:themeColor="text1" w:sz="4" w:space="0"/>
              <w:bottom w:val="single" w:color="000000" w:themeColor="text1" w:sz="4" w:space="0"/>
              <w:right w:val="single" w:color="000000" w:themeColor="text1" w:sz="4" w:space="0"/>
            </w:tcBorders>
            <w:vAlign w:val="center"/>
          </w:tcPr>
          <w:p w14:paraId="02CF381F">
            <w:pPr>
              <w:spacing w:line="280" w:lineRule="exact"/>
              <w:ind w:firstLine="0"/>
              <w:rPr>
                <w:rFonts w:ascii="Times New Roman" w:eastAsia="仿宋_GB2312"/>
                <w:color w:val="000000" w:themeColor="text1"/>
                <w:sz w:val="21"/>
                <w:szCs w:val="21"/>
              </w:rPr>
            </w:pPr>
          </w:p>
        </w:tc>
        <w:tc>
          <w:tcPr>
            <w:tcW w:w="1320" w:type="dxa"/>
            <w:tcBorders>
              <w:left w:val="single" w:color="000000" w:themeColor="text1" w:sz="4" w:space="0"/>
              <w:bottom w:val="single" w:color="000000" w:themeColor="text1" w:sz="4" w:space="0"/>
              <w:right w:val="single" w:color="000000" w:themeColor="text1" w:sz="4" w:space="0"/>
            </w:tcBorders>
            <w:vAlign w:val="center"/>
          </w:tcPr>
          <w:p w14:paraId="14C578F2">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D37725">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守灵</w:t>
            </w:r>
            <w:r>
              <w:rPr>
                <w:rFonts w:hint="eastAsia" w:ascii="Times New Roman" w:eastAsia="仿宋_GB2312"/>
                <w:color w:val="000000" w:themeColor="text1"/>
                <w:sz w:val="21"/>
                <w:szCs w:val="21"/>
              </w:rPr>
              <w:t>厅</w:t>
            </w:r>
            <w:r>
              <w:rPr>
                <w:rFonts w:ascii="Times New Roman" w:eastAsia="仿宋_GB2312"/>
                <w:color w:val="000000" w:themeColor="text1"/>
                <w:sz w:val="21"/>
                <w:szCs w:val="21"/>
              </w:rPr>
              <w:t>（130平方米以下）：免费（3天以内）。超过130平方米以上，另收场地费600元/场次（3天以内）</w:t>
            </w:r>
            <w:r>
              <w:rPr>
                <w:rFonts w:hint="eastAsia" w:ascii="Times New Roman" w:eastAsia="仿宋_GB2312"/>
                <w:color w:val="000000" w:themeColor="text1"/>
                <w:sz w:val="21"/>
                <w:szCs w:val="21"/>
              </w:rPr>
              <w:t>。</w:t>
            </w:r>
            <w:r>
              <w:rPr>
                <w:rFonts w:ascii="Times New Roman" w:eastAsia="仿宋_GB2312"/>
                <w:color w:val="000000" w:themeColor="text1"/>
                <w:sz w:val="21"/>
                <w:szCs w:val="21"/>
              </w:rPr>
              <w:t>超过3天的收场地费200元/天。</w:t>
            </w:r>
          </w:p>
        </w:tc>
        <w:tc>
          <w:tcPr>
            <w:tcW w:w="1284" w:type="dxa"/>
            <w:tcBorders>
              <w:left w:val="single" w:color="000000" w:themeColor="text1" w:sz="4" w:space="0"/>
              <w:bottom w:val="single" w:color="000000" w:themeColor="text1" w:sz="4" w:space="0"/>
              <w:right w:val="single" w:color="000000" w:themeColor="text1" w:sz="4" w:space="0"/>
            </w:tcBorders>
            <w:vAlign w:val="center"/>
          </w:tcPr>
          <w:p w14:paraId="0A7DDDFD">
            <w:pPr>
              <w:spacing w:line="280" w:lineRule="exact"/>
              <w:ind w:firstLine="0"/>
              <w:jc w:val="center"/>
              <w:rPr>
                <w:rFonts w:ascii="Times New Roman" w:eastAsia="仿宋_GB2312"/>
                <w:color w:val="000000" w:themeColor="text1"/>
                <w:sz w:val="21"/>
                <w:szCs w:val="21"/>
              </w:rPr>
            </w:pPr>
          </w:p>
        </w:tc>
        <w:tc>
          <w:tcPr>
            <w:tcW w:w="2926" w:type="dxa"/>
            <w:vMerge w:val="continue"/>
            <w:tcBorders>
              <w:left w:val="single" w:color="000000" w:themeColor="text1" w:sz="4" w:space="0"/>
              <w:bottom w:val="single" w:color="000000" w:themeColor="text1" w:sz="4" w:space="0"/>
              <w:right w:val="single" w:color="000000" w:themeColor="text1" w:sz="4" w:space="0"/>
            </w:tcBorders>
            <w:vAlign w:val="center"/>
          </w:tcPr>
          <w:p w14:paraId="20DD8143">
            <w:pPr>
              <w:spacing w:line="280" w:lineRule="exact"/>
              <w:ind w:firstLine="0"/>
              <w:jc w:val="left"/>
              <w:rPr>
                <w:rFonts w:ascii="Times New Roman" w:eastAsia="仿宋_GB2312"/>
                <w:color w:val="000000" w:themeColor="text1"/>
                <w:sz w:val="21"/>
                <w:szCs w:val="21"/>
              </w:rPr>
            </w:pPr>
          </w:p>
        </w:tc>
      </w:tr>
      <w:tr w14:paraId="398DF1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6" w:hRule="atLeast"/>
        </w:trPr>
        <w:tc>
          <w:tcPr>
            <w:tcW w:w="1029" w:type="dxa"/>
            <w:vMerge w:val="restart"/>
            <w:tcBorders>
              <w:top w:val="single" w:color="000000" w:themeColor="text1" w:sz="4" w:space="0"/>
              <w:left w:val="single" w:color="000000" w:themeColor="text1" w:sz="4" w:space="0"/>
              <w:right w:val="single" w:color="000000" w:themeColor="text1" w:sz="4" w:space="0"/>
            </w:tcBorders>
            <w:vAlign w:val="center"/>
          </w:tcPr>
          <w:p w14:paraId="4444EEBE">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6</w:t>
            </w:r>
          </w:p>
        </w:tc>
        <w:tc>
          <w:tcPr>
            <w:tcW w:w="1921" w:type="dxa"/>
            <w:vMerge w:val="restart"/>
            <w:tcBorders>
              <w:top w:val="single" w:color="000000" w:themeColor="text1" w:sz="4" w:space="0"/>
              <w:left w:val="single" w:color="000000" w:themeColor="text1" w:sz="4" w:space="0"/>
              <w:right w:val="single" w:color="000000" w:themeColor="text1" w:sz="4" w:space="0"/>
            </w:tcBorders>
            <w:vAlign w:val="center"/>
          </w:tcPr>
          <w:p w14:paraId="74D5AADD">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遗体火化</w:t>
            </w:r>
          </w:p>
        </w:tc>
        <w:tc>
          <w:tcPr>
            <w:tcW w:w="3540" w:type="dxa"/>
            <w:vMerge w:val="restart"/>
            <w:tcBorders>
              <w:top w:val="single" w:color="000000" w:themeColor="text1" w:sz="4" w:space="0"/>
              <w:left w:val="single" w:color="000000" w:themeColor="text1" w:sz="4" w:space="0"/>
              <w:right w:val="single" w:color="000000" w:themeColor="text1" w:sz="4" w:space="0"/>
            </w:tcBorders>
            <w:vAlign w:val="center"/>
          </w:tcPr>
          <w:p w14:paraId="162480CF">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含正常（特殊）遗体搬运 、确认、消毒（含车辆）、处理杂物、骨灰清理、置入火化炉、拣灰、装袋、装盒等火化全过程以及基本材质的骨灰袋、骨灰垫、耐高温火化骨灰识别牌等</w:t>
            </w:r>
            <w:r>
              <w:rPr>
                <w:rFonts w:hint="eastAsia" w:ascii="Times New Roman" w:eastAsia="仿宋_GB2312"/>
                <w:color w:val="000000" w:themeColor="text1"/>
                <w:sz w:val="21"/>
                <w:szCs w:val="21"/>
              </w:rPr>
              <w:t>。</w:t>
            </w:r>
          </w:p>
        </w:tc>
        <w:tc>
          <w:tcPr>
            <w:tcW w:w="1033" w:type="dxa"/>
            <w:vMerge w:val="restart"/>
            <w:tcBorders>
              <w:top w:val="single" w:color="000000" w:themeColor="text1" w:sz="4" w:space="0"/>
              <w:left w:val="single" w:color="000000" w:themeColor="text1" w:sz="4" w:space="0"/>
              <w:right w:val="single" w:color="000000" w:themeColor="text1" w:sz="4" w:space="0"/>
            </w:tcBorders>
            <w:vAlign w:val="center"/>
          </w:tcPr>
          <w:p w14:paraId="1CD5918D">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具</w:t>
            </w:r>
          </w:p>
        </w:tc>
        <w:tc>
          <w:tcPr>
            <w:tcW w:w="1320" w:type="dxa"/>
            <w:tcBorders>
              <w:top w:val="single" w:color="000000" w:themeColor="text1" w:sz="4" w:space="0"/>
              <w:left w:val="single" w:color="000000" w:themeColor="text1" w:sz="4" w:space="0"/>
              <w:right w:val="single" w:color="000000" w:themeColor="text1" w:sz="4" w:space="0"/>
            </w:tcBorders>
            <w:vAlign w:val="center"/>
          </w:tcPr>
          <w:p w14:paraId="5818A5C5">
            <w:pPr>
              <w:spacing w:line="280" w:lineRule="exact"/>
              <w:ind w:firstLine="0"/>
              <w:jc w:val="center"/>
              <w:rPr>
                <w:rFonts w:ascii="Times New Roman" w:eastAsia="仿宋_GB2312"/>
                <w:b/>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56E0B6">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平板炉：不超过</w:t>
            </w:r>
            <w:r>
              <w:rPr>
                <w:rFonts w:hint="eastAsia" w:ascii="Times New Roman" w:eastAsia="仿宋_GB2312"/>
                <w:color w:val="000000" w:themeColor="text1"/>
                <w:sz w:val="21"/>
                <w:szCs w:val="21"/>
              </w:rPr>
              <w:t>475</w:t>
            </w:r>
            <w:r>
              <w:rPr>
                <w:rFonts w:ascii="Times New Roman" w:eastAsia="仿宋_GB2312"/>
                <w:color w:val="000000" w:themeColor="text1"/>
                <w:sz w:val="21"/>
                <w:szCs w:val="21"/>
              </w:rPr>
              <w:t>元</w:t>
            </w:r>
          </w:p>
        </w:tc>
        <w:tc>
          <w:tcPr>
            <w:tcW w:w="1284" w:type="dxa"/>
            <w:tcBorders>
              <w:top w:val="single" w:color="000000" w:themeColor="text1" w:sz="4" w:space="0"/>
              <w:left w:val="single" w:color="000000" w:themeColor="text1" w:sz="4" w:space="0"/>
              <w:right w:val="single" w:color="000000" w:themeColor="text1" w:sz="4" w:space="0"/>
            </w:tcBorders>
            <w:vAlign w:val="center"/>
          </w:tcPr>
          <w:p w14:paraId="6DDF4618">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是</w:t>
            </w:r>
          </w:p>
        </w:tc>
        <w:tc>
          <w:tcPr>
            <w:tcW w:w="2926" w:type="dxa"/>
            <w:vMerge w:val="restart"/>
            <w:tcBorders>
              <w:top w:val="single" w:color="000000" w:themeColor="text1" w:sz="4" w:space="0"/>
              <w:left w:val="single" w:color="000000" w:themeColor="text1" w:sz="4" w:space="0"/>
              <w:right w:val="single" w:color="000000" w:themeColor="text1" w:sz="4" w:space="0"/>
            </w:tcBorders>
            <w:vAlign w:val="center"/>
          </w:tcPr>
          <w:p w14:paraId="34F8EFAE">
            <w:pPr>
              <w:spacing w:line="280" w:lineRule="exact"/>
              <w:ind w:firstLine="0"/>
              <w:rPr>
                <w:rFonts w:ascii="Times New Roman" w:eastAsia="仿宋_GB2312"/>
                <w:color w:val="000000" w:themeColor="text1"/>
                <w:sz w:val="21"/>
                <w:szCs w:val="21"/>
              </w:rPr>
            </w:pPr>
            <w:r>
              <w:rPr>
                <w:rFonts w:ascii="Times New Roman" w:eastAsia="仿宋_GB2312"/>
                <w:color w:val="000000" w:themeColor="text1"/>
                <w:sz w:val="21"/>
                <w:szCs w:val="21"/>
              </w:rPr>
              <w:t xml:space="preserve">1.惠民殡葬政策按相关文件规定执行。     </w:t>
            </w:r>
          </w:p>
          <w:p w14:paraId="65C1909B">
            <w:pPr>
              <w:spacing w:line="280" w:lineRule="exact"/>
              <w:ind w:firstLine="0"/>
              <w:rPr>
                <w:rFonts w:ascii="Times New Roman" w:eastAsia="仿宋_GB2312"/>
                <w:color w:val="000000" w:themeColor="text1"/>
                <w:sz w:val="21"/>
                <w:szCs w:val="21"/>
              </w:rPr>
            </w:pPr>
            <w:r>
              <w:rPr>
                <w:rFonts w:ascii="Times New Roman" w:eastAsia="仿宋_GB2312"/>
                <w:color w:val="000000" w:themeColor="text1"/>
                <w:sz w:val="21"/>
                <w:szCs w:val="21"/>
              </w:rPr>
              <w:t>2.殡葬礼仪引导服务、丧户</w:t>
            </w:r>
            <w:r>
              <w:rPr>
                <w:rFonts w:hint="eastAsia" w:ascii="Times New Roman" w:eastAsia="仿宋_GB2312"/>
                <w:color w:val="000000" w:themeColor="text1"/>
                <w:sz w:val="21"/>
                <w:szCs w:val="21"/>
              </w:rPr>
              <w:t>洽</w:t>
            </w:r>
            <w:r>
              <w:rPr>
                <w:rFonts w:ascii="Times New Roman" w:eastAsia="仿宋_GB2312"/>
                <w:color w:val="000000" w:themeColor="text1"/>
                <w:sz w:val="21"/>
                <w:szCs w:val="21"/>
              </w:rPr>
              <w:t>谈休息室、火化等候室、停车免费。</w:t>
            </w:r>
          </w:p>
          <w:p w14:paraId="295A5481">
            <w:pPr>
              <w:spacing w:line="280" w:lineRule="exact"/>
              <w:ind w:firstLine="0"/>
              <w:rPr>
                <w:rFonts w:ascii="Times New Roman" w:eastAsia="仿宋_GB2312"/>
                <w:color w:val="000000" w:themeColor="text1"/>
                <w:sz w:val="21"/>
                <w:szCs w:val="21"/>
              </w:rPr>
            </w:pPr>
          </w:p>
        </w:tc>
      </w:tr>
      <w:tr w14:paraId="79FC56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1029" w:type="dxa"/>
            <w:vMerge w:val="continue"/>
            <w:tcBorders>
              <w:left w:val="single" w:color="000000" w:themeColor="text1" w:sz="4" w:space="0"/>
              <w:bottom w:val="single" w:color="000000" w:themeColor="text1" w:sz="4" w:space="0"/>
              <w:right w:val="single" w:color="000000" w:themeColor="text1" w:sz="4" w:space="0"/>
            </w:tcBorders>
            <w:vAlign w:val="center"/>
          </w:tcPr>
          <w:p w14:paraId="4FE4EE0A">
            <w:pPr>
              <w:spacing w:line="280" w:lineRule="exact"/>
              <w:ind w:firstLine="0"/>
              <w:jc w:val="center"/>
              <w:rPr>
                <w:rFonts w:ascii="Times New Roman" w:eastAsia="仿宋_GB2312"/>
                <w:color w:val="000000" w:themeColor="text1"/>
                <w:sz w:val="21"/>
                <w:szCs w:val="21"/>
              </w:rPr>
            </w:pPr>
          </w:p>
        </w:tc>
        <w:tc>
          <w:tcPr>
            <w:tcW w:w="1921" w:type="dxa"/>
            <w:vMerge w:val="continue"/>
            <w:tcBorders>
              <w:left w:val="single" w:color="000000" w:themeColor="text1" w:sz="4" w:space="0"/>
              <w:bottom w:val="single" w:color="000000" w:themeColor="text1" w:sz="4" w:space="0"/>
              <w:right w:val="single" w:color="000000" w:themeColor="text1" w:sz="4" w:space="0"/>
            </w:tcBorders>
            <w:vAlign w:val="center"/>
          </w:tcPr>
          <w:p w14:paraId="448BA8FE">
            <w:pPr>
              <w:spacing w:line="280" w:lineRule="exact"/>
              <w:ind w:firstLine="0"/>
              <w:jc w:val="center"/>
              <w:rPr>
                <w:rFonts w:ascii="Times New Roman" w:eastAsia="仿宋_GB2312"/>
                <w:color w:val="000000" w:themeColor="text1"/>
                <w:sz w:val="21"/>
                <w:szCs w:val="21"/>
              </w:rPr>
            </w:pPr>
          </w:p>
        </w:tc>
        <w:tc>
          <w:tcPr>
            <w:tcW w:w="3540" w:type="dxa"/>
            <w:vMerge w:val="continue"/>
            <w:tcBorders>
              <w:left w:val="single" w:color="000000" w:themeColor="text1" w:sz="4" w:space="0"/>
              <w:bottom w:val="single" w:color="000000" w:themeColor="text1" w:sz="4" w:space="0"/>
              <w:right w:val="single" w:color="000000" w:themeColor="text1" w:sz="4" w:space="0"/>
            </w:tcBorders>
            <w:vAlign w:val="center"/>
          </w:tcPr>
          <w:p w14:paraId="365718DA">
            <w:pPr>
              <w:spacing w:line="280" w:lineRule="exact"/>
              <w:ind w:firstLine="0"/>
              <w:jc w:val="left"/>
              <w:rPr>
                <w:rFonts w:ascii="Times New Roman" w:eastAsia="仿宋_GB2312"/>
                <w:color w:val="000000" w:themeColor="text1"/>
                <w:sz w:val="21"/>
                <w:szCs w:val="21"/>
              </w:rPr>
            </w:pPr>
          </w:p>
        </w:tc>
        <w:tc>
          <w:tcPr>
            <w:tcW w:w="1033" w:type="dxa"/>
            <w:vMerge w:val="continue"/>
            <w:tcBorders>
              <w:left w:val="single" w:color="000000" w:themeColor="text1" w:sz="4" w:space="0"/>
              <w:bottom w:val="single" w:color="000000" w:themeColor="text1" w:sz="4" w:space="0"/>
              <w:right w:val="single" w:color="000000" w:themeColor="text1" w:sz="4" w:space="0"/>
            </w:tcBorders>
            <w:vAlign w:val="center"/>
          </w:tcPr>
          <w:p w14:paraId="39C6EFAB">
            <w:pPr>
              <w:spacing w:line="280" w:lineRule="exact"/>
              <w:ind w:firstLine="0"/>
              <w:jc w:val="center"/>
              <w:rPr>
                <w:rFonts w:ascii="Times New Roman" w:eastAsia="仿宋_GB2312"/>
                <w:color w:val="000000" w:themeColor="text1"/>
                <w:sz w:val="21"/>
                <w:szCs w:val="21"/>
              </w:rPr>
            </w:pPr>
          </w:p>
        </w:tc>
        <w:tc>
          <w:tcPr>
            <w:tcW w:w="1320" w:type="dxa"/>
            <w:tcBorders>
              <w:left w:val="single" w:color="000000" w:themeColor="text1" w:sz="4" w:space="0"/>
              <w:bottom w:val="single" w:color="000000" w:themeColor="text1" w:sz="4" w:space="0"/>
              <w:right w:val="single" w:color="000000" w:themeColor="text1" w:sz="4" w:space="0"/>
            </w:tcBorders>
            <w:vAlign w:val="center"/>
          </w:tcPr>
          <w:p w14:paraId="1076A11C">
            <w:pPr>
              <w:spacing w:line="280" w:lineRule="exact"/>
              <w:ind w:firstLine="0"/>
              <w:jc w:val="center"/>
              <w:rPr>
                <w:rFonts w:ascii="Times New Roman" w:eastAsia="仿宋_GB2312"/>
                <w:b/>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BF0631">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拣灰炉：不超过</w:t>
            </w:r>
            <w:r>
              <w:rPr>
                <w:rFonts w:hint="eastAsia" w:ascii="Times New Roman" w:eastAsia="仿宋_GB2312"/>
                <w:color w:val="000000" w:themeColor="text1"/>
                <w:sz w:val="21"/>
                <w:szCs w:val="21"/>
              </w:rPr>
              <w:t>850</w:t>
            </w:r>
            <w:r>
              <w:rPr>
                <w:rFonts w:ascii="Times New Roman" w:eastAsia="仿宋_GB2312"/>
                <w:color w:val="000000" w:themeColor="text1"/>
                <w:sz w:val="21"/>
                <w:szCs w:val="21"/>
              </w:rPr>
              <w:t>元</w:t>
            </w:r>
          </w:p>
        </w:tc>
        <w:tc>
          <w:tcPr>
            <w:tcW w:w="1284" w:type="dxa"/>
            <w:tcBorders>
              <w:left w:val="single" w:color="000000" w:themeColor="text1" w:sz="4" w:space="0"/>
              <w:bottom w:val="single" w:color="000000" w:themeColor="text1" w:sz="4" w:space="0"/>
              <w:right w:val="single" w:color="000000" w:themeColor="text1" w:sz="4" w:space="0"/>
            </w:tcBorders>
            <w:vAlign w:val="center"/>
          </w:tcPr>
          <w:p w14:paraId="3C78DCB3">
            <w:pPr>
              <w:spacing w:line="280" w:lineRule="exact"/>
              <w:ind w:firstLine="0"/>
              <w:jc w:val="center"/>
              <w:rPr>
                <w:rFonts w:ascii="Times New Roman" w:eastAsia="仿宋_GB2312"/>
                <w:color w:val="000000" w:themeColor="text1"/>
                <w:sz w:val="21"/>
                <w:szCs w:val="21"/>
              </w:rPr>
            </w:pPr>
          </w:p>
        </w:tc>
        <w:tc>
          <w:tcPr>
            <w:tcW w:w="2926" w:type="dxa"/>
            <w:vMerge w:val="continue"/>
            <w:tcBorders>
              <w:left w:val="single" w:color="000000" w:themeColor="text1" w:sz="4" w:space="0"/>
              <w:bottom w:val="single" w:color="000000" w:themeColor="text1" w:sz="4" w:space="0"/>
              <w:right w:val="single" w:color="000000" w:themeColor="text1" w:sz="4" w:space="0"/>
            </w:tcBorders>
            <w:vAlign w:val="center"/>
          </w:tcPr>
          <w:p w14:paraId="67810D8D">
            <w:pPr>
              <w:spacing w:line="280" w:lineRule="exact"/>
              <w:ind w:firstLine="0"/>
              <w:rPr>
                <w:rFonts w:ascii="Times New Roman" w:eastAsia="仿宋_GB2312"/>
                <w:color w:val="000000" w:themeColor="text1"/>
                <w:sz w:val="21"/>
                <w:szCs w:val="21"/>
              </w:rPr>
            </w:pPr>
          </w:p>
        </w:tc>
      </w:tr>
      <w:tr w14:paraId="6AAB53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2" w:hRule="atLeast"/>
        </w:trPr>
        <w:tc>
          <w:tcPr>
            <w:tcW w:w="1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65E319">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7</w:t>
            </w:r>
          </w:p>
        </w:tc>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483129">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骨灰寄存</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2E5DF7">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适用于殡仪馆、公益性公墓（骨灰堂）骨灰寄存，含骨灰（骨灰盒）保管服务</w:t>
            </w:r>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785E53">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月</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25A443">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7A9230">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不超过</w:t>
            </w:r>
            <w:r>
              <w:rPr>
                <w:rFonts w:hint="eastAsia" w:ascii="Times New Roman" w:eastAsia="仿宋_GB2312"/>
                <w:color w:val="000000" w:themeColor="text1"/>
                <w:sz w:val="21"/>
                <w:szCs w:val="21"/>
              </w:rPr>
              <w:t>5</w:t>
            </w:r>
            <w:r>
              <w:rPr>
                <w:rFonts w:ascii="Times New Roman" w:eastAsia="仿宋_GB2312"/>
                <w:color w:val="000000" w:themeColor="text1"/>
                <w:sz w:val="21"/>
                <w:szCs w:val="21"/>
              </w:rPr>
              <w:t>元</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481299">
            <w:pPr>
              <w:spacing w:line="280" w:lineRule="exact"/>
              <w:ind w:firstLine="0"/>
              <w:jc w:val="center"/>
              <w:rPr>
                <w:rFonts w:ascii="Times New Roman" w:eastAsia="仿宋_GB2312"/>
                <w:color w:val="000000" w:themeColor="text1"/>
                <w:sz w:val="21"/>
                <w:szCs w:val="21"/>
              </w:rPr>
            </w:pP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737F82">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优惠政策按相关文件规定执行。</w:t>
            </w:r>
          </w:p>
        </w:tc>
      </w:tr>
      <w:tr w14:paraId="2DBF68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9" w:hRule="atLeast"/>
        </w:trPr>
        <w:tc>
          <w:tcPr>
            <w:tcW w:w="1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3245CC">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8</w:t>
            </w:r>
          </w:p>
        </w:tc>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DF78CE0">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公益性公墓墓（格）葬</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1F05E9">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墓（格）位建造，墓碑制作（含描漆、瓷像、刻字单穴50字以内、双穴80字以内）、安葬前清理、骨灰盒铺垫、防水防盗处理、封闭墓（格）位，</w:t>
            </w:r>
            <w:r>
              <w:rPr>
                <w:rFonts w:hint="eastAsia" w:ascii="Times New Roman" w:eastAsia="仿宋_GB2312"/>
                <w:color w:val="000000" w:themeColor="text1"/>
                <w:sz w:val="21"/>
                <w:szCs w:val="21"/>
              </w:rPr>
              <w:t>普通</w:t>
            </w:r>
            <w:r>
              <w:rPr>
                <w:rFonts w:ascii="Times New Roman" w:eastAsia="仿宋_GB2312"/>
                <w:color w:val="000000" w:themeColor="text1"/>
                <w:sz w:val="21"/>
                <w:szCs w:val="21"/>
              </w:rPr>
              <w:t>落葬仪式等基本服务和用品</w:t>
            </w:r>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8880A3">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穴、格位</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3AC188">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262384">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单穴</w:t>
            </w:r>
            <w:r>
              <w:rPr>
                <w:rFonts w:hint="eastAsia" w:ascii="Times New Roman" w:eastAsia="仿宋_GB2312"/>
                <w:color w:val="000000" w:themeColor="text1"/>
                <w:sz w:val="21"/>
                <w:szCs w:val="21"/>
              </w:rPr>
              <w:t>：</w:t>
            </w:r>
            <w:r>
              <w:rPr>
                <w:rFonts w:ascii="Times New Roman" w:eastAsia="仿宋_GB2312"/>
                <w:color w:val="000000" w:themeColor="text1"/>
                <w:sz w:val="21"/>
                <w:szCs w:val="21"/>
              </w:rPr>
              <w:t>不超过2500元</w:t>
            </w:r>
            <w:r>
              <w:rPr>
                <w:rFonts w:hint="eastAsia" w:ascii="Times New Roman" w:eastAsia="仿宋_GB2312"/>
                <w:color w:val="000000" w:themeColor="text1"/>
                <w:sz w:val="21"/>
                <w:szCs w:val="21"/>
              </w:rPr>
              <w:t xml:space="preserve"> </w:t>
            </w:r>
            <w:r>
              <w:rPr>
                <w:rFonts w:ascii="Times New Roman" w:eastAsia="仿宋_GB2312"/>
                <w:color w:val="000000" w:themeColor="text1"/>
                <w:sz w:val="21"/>
                <w:szCs w:val="21"/>
              </w:rPr>
              <w:t>双穴</w:t>
            </w:r>
            <w:r>
              <w:rPr>
                <w:rFonts w:hint="eastAsia" w:ascii="Times New Roman" w:eastAsia="仿宋_GB2312"/>
                <w:color w:val="000000" w:themeColor="text1"/>
                <w:sz w:val="21"/>
                <w:szCs w:val="21"/>
              </w:rPr>
              <w:t>：</w:t>
            </w:r>
            <w:r>
              <w:rPr>
                <w:rFonts w:ascii="Times New Roman" w:eastAsia="仿宋_GB2312"/>
                <w:color w:val="000000" w:themeColor="text1"/>
                <w:sz w:val="21"/>
                <w:szCs w:val="21"/>
              </w:rPr>
              <w:t>不超过4000元</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A29420">
            <w:pPr>
              <w:spacing w:line="280" w:lineRule="exact"/>
              <w:ind w:firstLine="0"/>
              <w:jc w:val="center"/>
              <w:rPr>
                <w:rFonts w:ascii="Times New Roman" w:eastAsia="仿宋_GB2312"/>
                <w:color w:val="000000" w:themeColor="text1"/>
                <w:sz w:val="21"/>
                <w:szCs w:val="21"/>
              </w:rPr>
            </w:pP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2630FA">
            <w:pPr>
              <w:spacing w:line="280" w:lineRule="exact"/>
              <w:ind w:firstLine="0"/>
              <w:rPr>
                <w:rFonts w:ascii="Times New Roman" w:eastAsia="仿宋_GB2312"/>
                <w:color w:val="000000" w:themeColor="text1"/>
                <w:sz w:val="21"/>
                <w:szCs w:val="21"/>
              </w:rPr>
            </w:pPr>
            <w:r>
              <w:rPr>
                <w:rFonts w:hint="eastAsia" w:ascii="Times New Roman" w:eastAsia="仿宋_GB2312"/>
                <w:color w:val="000000" w:themeColor="text1"/>
                <w:sz w:val="21"/>
                <w:szCs w:val="21"/>
              </w:rPr>
              <w:t>1</w:t>
            </w:r>
            <w:r>
              <w:rPr>
                <w:rFonts w:ascii="Times New Roman" w:eastAsia="仿宋_GB2312"/>
                <w:color w:val="000000" w:themeColor="text1"/>
                <w:sz w:val="21"/>
                <w:szCs w:val="21"/>
              </w:rPr>
              <w:t>.优惠政策按相关文件规定执行。</w:t>
            </w:r>
          </w:p>
          <w:p w14:paraId="0D1BE151">
            <w:pPr>
              <w:spacing w:line="280" w:lineRule="exact"/>
              <w:ind w:firstLine="0"/>
              <w:jc w:val="left"/>
              <w:rPr>
                <w:rFonts w:ascii="Times New Roman" w:eastAsia="仿宋_GB2312"/>
                <w:color w:val="000000" w:themeColor="text1"/>
                <w:sz w:val="21"/>
                <w:szCs w:val="21"/>
              </w:rPr>
            </w:pPr>
            <w:r>
              <w:rPr>
                <w:rFonts w:hint="eastAsia" w:ascii="Times New Roman" w:eastAsia="仿宋_GB2312"/>
                <w:color w:val="000000" w:themeColor="text1"/>
                <w:sz w:val="21"/>
                <w:szCs w:val="21"/>
              </w:rPr>
              <w:t>2</w:t>
            </w:r>
            <w:r>
              <w:rPr>
                <w:rFonts w:ascii="Times New Roman" w:eastAsia="仿宋_GB2312"/>
                <w:color w:val="000000" w:themeColor="text1"/>
                <w:sz w:val="21"/>
                <w:szCs w:val="21"/>
              </w:rPr>
              <w:t>.刻字超过规定字数按照个性化需求协商约定。</w:t>
            </w:r>
          </w:p>
        </w:tc>
      </w:tr>
      <w:tr w14:paraId="2CC44D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1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3F556E">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9</w:t>
            </w:r>
          </w:p>
        </w:tc>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855ADE">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节地生态安葬</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40AC36">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含树葬、花坛葬、草坪葬、海（江）葬等节地生态安葬</w:t>
            </w:r>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F55C71">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具</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C39BFD">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E18CED">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免费</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367212">
            <w:pPr>
              <w:spacing w:line="280" w:lineRule="exact"/>
              <w:ind w:firstLine="0"/>
              <w:jc w:val="center"/>
              <w:rPr>
                <w:rFonts w:ascii="Times New Roman" w:eastAsia="仿宋_GB2312"/>
                <w:color w:val="000000" w:themeColor="text1"/>
                <w:sz w:val="21"/>
                <w:szCs w:val="21"/>
              </w:rPr>
            </w:pP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77DC1E">
            <w:pPr>
              <w:spacing w:line="280" w:lineRule="exact"/>
              <w:ind w:firstLine="0"/>
              <w:jc w:val="left"/>
              <w:rPr>
                <w:rFonts w:ascii="Times New Roman" w:eastAsia="仿宋_GB2312"/>
                <w:color w:val="000000" w:themeColor="text1"/>
                <w:sz w:val="21"/>
                <w:szCs w:val="21"/>
              </w:rPr>
            </w:pPr>
            <w:r>
              <w:rPr>
                <w:rFonts w:hint="eastAsia" w:ascii="Times New Roman" w:eastAsia="仿宋_GB2312"/>
                <w:color w:val="000000" w:themeColor="text1"/>
                <w:sz w:val="21"/>
                <w:szCs w:val="21"/>
              </w:rPr>
              <w:t>不保留骨灰、墓穴、不单独设立墓碑。</w:t>
            </w:r>
          </w:p>
        </w:tc>
      </w:tr>
      <w:tr w14:paraId="715E6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 w:hRule="atLeast"/>
        </w:trPr>
        <w:tc>
          <w:tcPr>
            <w:tcW w:w="10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E175D5">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10</w:t>
            </w:r>
          </w:p>
        </w:tc>
        <w:tc>
          <w:tcPr>
            <w:tcW w:w="192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0EA5B3">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公墓维护管理</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123312">
            <w:pPr>
              <w:spacing w:line="280" w:lineRule="exact"/>
              <w:ind w:firstLine="0"/>
              <w:jc w:val="left"/>
              <w:rPr>
                <w:rFonts w:ascii="Times New Roman" w:eastAsia="仿宋_GB2312"/>
                <w:color w:val="000000" w:themeColor="text1"/>
                <w:sz w:val="21"/>
                <w:szCs w:val="21"/>
              </w:rPr>
            </w:pPr>
            <w:bookmarkStart w:id="6" w:name="OLE_LINK7"/>
            <w:bookmarkStart w:id="7" w:name="OLE_LINK8"/>
            <w:r>
              <w:rPr>
                <w:rFonts w:ascii="Times New Roman" w:eastAsia="仿宋_GB2312"/>
                <w:color w:val="000000" w:themeColor="text1"/>
                <w:sz w:val="21"/>
                <w:szCs w:val="21"/>
              </w:rPr>
              <w:t>含环境、绿化、卫生维护、简易维修（不换件）</w:t>
            </w:r>
            <w:bookmarkEnd w:id="6"/>
            <w:bookmarkEnd w:id="7"/>
            <w:r>
              <w:rPr>
                <w:rFonts w:hint="eastAsia" w:ascii="Times New Roman" w:eastAsia="仿宋_GB2312"/>
                <w:color w:val="000000" w:themeColor="text1"/>
                <w:sz w:val="21"/>
                <w:szCs w:val="21"/>
              </w:rPr>
              <w:t>。</w:t>
            </w:r>
          </w:p>
        </w:tc>
        <w:tc>
          <w:tcPr>
            <w:tcW w:w="103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23AD29">
            <w:pPr>
              <w:spacing w:line="280" w:lineRule="exact"/>
              <w:ind w:firstLine="0"/>
              <w:jc w:val="center"/>
              <w:rPr>
                <w:rFonts w:ascii="Times New Roman" w:eastAsia="仿宋_GB2312"/>
                <w:color w:val="000000" w:themeColor="text1"/>
                <w:sz w:val="21"/>
                <w:szCs w:val="21"/>
              </w:rPr>
            </w:pPr>
            <w:r>
              <w:rPr>
                <w:rFonts w:ascii="Times New Roman" w:eastAsia="仿宋_GB2312"/>
                <w:color w:val="000000" w:themeColor="text1"/>
                <w:sz w:val="21"/>
                <w:szCs w:val="21"/>
              </w:rPr>
              <w:t>年</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46F877">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政府指导价</w:t>
            </w:r>
          </w:p>
        </w:tc>
        <w:tc>
          <w:tcPr>
            <w:tcW w:w="21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A204C6">
            <w:pPr>
              <w:spacing w:line="280" w:lineRule="exact"/>
              <w:ind w:firstLine="0"/>
              <w:jc w:val="center"/>
              <w:rPr>
                <w:rFonts w:ascii="Times New Roman" w:eastAsia="仿宋_GB2312"/>
                <w:color w:val="000000" w:themeColor="text1"/>
                <w:sz w:val="21"/>
                <w:szCs w:val="21"/>
              </w:rPr>
            </w:pPr>
            <w:r>
              <w:rPr>
                <w:rFonts w:hint="eastAsia" w:ascii="Times New Roman" w:eastAsia="仿宋_GB2312"/>
                <w:color w:val="000000" w:themeColor="text1"/>
                <w:sz w:val="21"/>
                <w:szCs w:val="21"/>
              </w:rPr>
              <w:t>不超过120元</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886BB7">
            <w:pPr>
              <w:spacing w:line="280" w:lineRule="exact"/>
              <w:ind w:firstLine="0"/>
              <w:jc w:val="center"/>
              <w:rPr>
                <w:rFonts w:ascii="Times New Roman" w:eastAsia="仿宋_GB2312"/>
                <w:color w:val="000000" w:themeColor="text1"/>
                <w:sz w:val="21"/>
                <w:szCs w:val="21"/>
              </w:rPr>
            </w:pPr>
          </w:p>
        </w:tc>
        <w:tc>
          <w:tcPr>
            <w:tcW w:w="29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61B537">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1.公益性公墓不超过80元/年.</w:t>
            </w:r>
            <w:r>
              <w:rPr>
                <w:rFonts w:hint="eastAsia" w:ascii="Times New Roman" w:eastAsia="仿宋_GB2312"/>
                <w:color w:val="000000" w:themeColor="text1"/>
                <w:sz w:val="21"/>
                <w:szCs w:val="21"/>
              </w:rPr>
              <w:t>穴。</w:t>
            </w:r>
          </w:p>
          <w:p w14:paraId="7A0B21A4">
            <w:pPr>
              <w:spacing w:line="280" w:lineRule="exact"/>
              <w:ind w:firstLine="0"/>
              <w:jc w:val="left"/>
              <w:rPr>
                <w:rFonts w:ascii="Times New Roman" w:eastAsia="仿宋_GB2312"/>
                <w:color w:val="000000" w:themeColor="text1"/>
                <w:sz w:val="21"/>
                <w:szCs w:val="21"/>
              </w:rPr>
            </w:pPr>
            <w:r>
              <w:rPr>
                <w:rFonts w:ascii="Times New Roman" w:eastAsia="仿宋_GB2312"/>
                <w:color w:val="000000" w:themeColor="text1"/>
                <w:sz w:val="21"/>
                <w:szCs w:val="21"/>
              </w:rPr>
              <w:t>2.经营性公墓不超过1</w:t>
            </w:r>
            <w:r>
              <w:rPr>
                <w:rFonts w:hint="eastAsia" w:ascii="Times New Roman" w:eastAsia="仿宋_GB2312"/>
                <w:color w:val="000000" w:themeColor="text1"/>
                <w:sz w:val="21"/>
                <w:szCs w:val="21"/>
              </w:rPr>
              <w:t>2</w:t>
            </w:r>
            <w:r>
              <w:rPr>
                <w:rFonts w:ascii="Times New Roman" w:eastAsia="仿宋_GB2312"/>
                <w:color w:val="000000" w:themeColor="text1"/>
                <w:sz w:val="21"/>
                <w:szCs w:val="21"/>
              </w:rPr>
              <w:t>0元/年.</w:t>
            </w:r>
            <w:r>
              <w:rPr>
                <w:rFonts w:hint="eastAsia" w:ascii="Times New Roman" w:eastAsia="仿宋_GB2312"/>
                <w:color w:val="000000" w:themeColor="text1"/>
                <w:sz w:val="21"/>
                <w:szCs w:val="21"/>
              </w:rPr>
              <w:t>穴。</w:t>
            </w:r>
          </w:p>
          <w:p w14:paraId="33D82A7F">
            <w:pPr>
              <w:spacing w:line="280" w:lineRule="exact"/>
              <w:ind w:firstLine="0"/>
              <w:rPr>
                <w:rFonts w:ascii="Times New Roman" w:eastAsia="仿宋_GB2312"/>
                <w:color w:val="000000" w:themeColor="text1"/>
                <w:sz w:val="21"/>
                <w:szCs w:val="21"/>
              </w:rPr>
            </w:pPr>
            <w:r>
              <w:rPr>
                <w:rFonts w:hint="eastAsia" w:ascii="Times New Roman" w:eastAsia="仿宋_GB2312"/>
                <w:color w:val="000000" w:themeColor="text1"/>
                <w:sz w:val="21"/>
                <w:szCs w:val="21"/>
              </w:rPr>
              <w:t>3.</w:t>
            </w:r>
            <w:r>
              <w:rPr>
                <w:rFonts w:ascii="Times New Roman" w:eastAsia="仿宋_GB2312"/>
                <w:color w:val="000000" w:themeColor="text1"/>
                <w:sz w:val="21"/>
                <w:szCs w:val="21"/>
              </w:rPr>
              <w:t>优惠政策按相关文件规定执行。</w:t>
            </w:r>
          </w:p>
        </w:tc>
      </w:tr>
    </w:tbl>
    <w:p w14:paraId="4A6E702A">
      <w:pPr>
        <w:spacing w:line="280" w:lineRule="exact"/>
        <w:ind w:firstLine="206" w:firstLineChars="100"/>
        <w:rPr>
          <w:rFonts w:ascii="Times New Roman" w:eastAsia="仿宋_GB2312"/>
          <w:color w:val="000000" w:themeColor="text1"/>
          <w:sz w:val="21"/>
          <w:szCs w:val="21"/>
        </w:rPr>
      </w:pPr>
      <w:r>
        <w:rPr>
          <w:rFonts w:ascii="Times New Roman" w:eastAsia="仿宋_GB2312"/>
          <w:color w:val="000000" w:themeColor="text1"/>
          <w:sz w:val="21"/>
          <w:szCs w:val="21"/>
        </w:rPr>
        <w:t>说明：1.特殊遗体指传染病、腐尸等非正常遗体。</w:t>
      </w:r>
    </w:p>
    <w:p w14:paraId="6A330CCA">
      <w:pPr>
        <w:widowControl/>
        <w:spacing w:line="280" w:lineRule="exact"/>
        <w:ind w:firstLine="824" w:firstLineChars="400"/>
        <w:jc w:val="left"/>
        <w:rPr>
          <w:rFonts w:ascii="Times New Roman" w:eastAsia="仿宋_GB2312"/>
          <w:color w:val="000000" w:themeColor="text1"/>
          <w:sz w:val="21"/>
          <w:szCs w:val="21"/>
        </w:rPr>
      </w:pPr>
      <w:r>
        <w:rPr>
          <w:rFonts w:ascii="Times New Roman" w:eastAsia="仿宋_GB2312"/>
          <w:color w:val="000000" w:themeColor="text1"/>
          <w:sz w:val="21"/>
          <w:szCs w:val="21"/>
        </w:rPr>
        <w:t>2.符合惠民殡葬政策的，可以按规定免费领用不超过200元的骨灰盒。</w:t>
      </w:r>
    </w:p>
    <w:p w14:paraId="16B28694">
      <w:pPr>
        <w:widowControl/>
        <w:spacing w:line="280" w:lineRule="exact"/>
        <w:ind w:firstLine="828" w:firstLineChars="402"/>
        <w:jc w:val="left"/>
        <w:rPr>
          <w:rFonts w:ascii="Times New Roman" w:eastAsia="仿宋_GB2312"/>
          <w:color w:val="000000" w:themeColor="text1"/>
          <w:sz w:val="21"/>
          <w:szCs w:val="21"/>
        </w:rPr>
      </w:pPr>
      <w:r>
        <w:rPr>
          <w:rFonts w:ascii="Times New Roman" w:eastAsia="仿宋_GB2312"/>
          <w:color w:val="000000" w:themeColor="text1"/>
          <w:sz w:val="21"/>
          <w:szCs w:val="21"/>
        </w:rPr>
        <w:t>3.遇惠民殡葬政策调整的，从其规定。</w:t>
      </w:r>
    </w:p>
    <w:p w14:paraId="7338F45F">
      <w:pPr>
        <w:spacing w:line="560" w:lineRule="exact"/>
        <w:ind w:firstLine="0"/>
        <w:jc w:val="left"/>
        <w:rPr>
          <w:rFonts w:ascii="Times New Roman" w:hAnsi="黑体" w:eastAsia="黑体"/>
          <w:szCs w:val="32"/>
        </w:rPr>
      </w:pPr>
    </w:p>
    <w:p w14:paraId="6EC932D6">
      <w:pPr>
        <w:spacing w:line="560" w:lineRule="exact"/>
        <w:ind w:firstLine="0"/>
        <w:jc w:val="left"/>
        <w:rPr>
          <w:rFonts w:ascii="Times New Roman" w:hAnsi="黑体" w:eastAsia="黑体"/>
          <w:szCs w:val="32"/>
        </w:rPr>
      </w:pPr>
      <w:r>
        <w:rPr>
          <w:rFonts w:ascii="Times New Roman" w:hAnsi="黑体" w:eastAsia="黑体"/>
          <w:szCs w:val="32"/>
        </w:rPr>
        <w:t>附件</w:t>
      </w:r>
      <w:r>
        <w:rPr>
          <w:rFonts w:ascii="Times New Roman" w:eastAsia="黑体"/>
          <w:szCs w:val="32"/>
        </w:rPr>
        <w:t>2</w:t>
      </w:r>
    </w:p>
    <w:p w14:paraId="032A8C2A">
      <w:pPr>
        <w:spacing w:line="580" w:lineRule="exact"/>
        <w:ind w:firstLine="0"/>
        <w:jc w:val="center"/>
        <w:rPr>
          <w:rFonts w:ascii="Times New Roman" w:eastAsia="方正小标宋_GBK"/>
          <w:color w:val="000000" w:themeColor="text1"/>
          <w:sz w:val="44"/>
          <w:szCs w:val="44"/>
        </w:rPr>
      </w:pPr>
      <w:r>
        <w:rPr>
          <w:rFonts w:ascii="Times New Roman" w:eastAsia="方正小标宋_GBK"/>
          <w:color w:val="000000" w:themeColor="text1"/>
          <w:sz w:val="44"/>
          <w:szCs w:val="44"/>
        </w:rPr>
        <w:t>淮安市</w:t>
      </w:r>
      <w:r>
        <w:rPr>
          <w:rFonts w:hint="eastAsia" w:ascii="Times New Roman" w:eastAsia="方正小标宋_GBK"/>
          <w:color w:val="000000" w:themeColor="text1"/>
          <w:sz w:val="44"/>
          <w:szCs w:val="44"/>
        </w:rPr>
        <w:t>洪泽区</w:t>
      </w:r>
      <w:r>
        <w:rPr>
          <w:rFonts w:ascii="Times New Roman" w:eastAsia="方正小标宋_GBK"/>
          <w:color w:val="000000" w:themeColor="text1"/>
          <w:sz w:val="44"/>
          <w:szCs w:val="44"/>
        </w:rPr>
        <w:t>殡葬延伸服务项目清单（试行）</w:t>
      </w:r>
    </w:p>
    <w:p w14:paraId="745246DB">
      <w:pPr>
        <w:spacing w:line="580" w:lineRule="exact"/>
        <w:ind w:firstLine="0"/>
        <w:jc w:val="center"/>
        <w:rPr>
          <w:rFonts w:ascii="Times New Roman" w:eastAsia="方正小标宋_GBK"/>
          <w:color w:val="000000" w:themeColor="text1"/>
          <w:sz w:val="44"/>
          <w:szCs w:val="44"/>
        </w:rPr>
      </w:pPr>
    </w:p>
    <w:tbl>
      <w:tblPr>
        <w:tblStyle w:val="16"/>
        <w:tblW w:w="149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6"/>
        <w:gridCol w:w="2095"/>
        <w:gridCol w:w="5358"/>
        <w:gridCol w:w="1428"/>
        <w:gridCol w:w="1965"/>
        <w:gridCol w:w="2858"/>
      </w:tblGrid>
      <w:tr w14:paraId="6C6641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1" w:hRule="atLeast"/>
        </w:trPr>
        <w:tc>
          <w:tcPr>
            <w:tcW w:w="12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7B5FFA">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序号</w:t>
            </w:r>
          </w:p>
        </w:tc>
        <w:tc>
          <w:tcPr>
            <w:tcW w:w="20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5D198C">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服务项目</w:t>
            </w:r>
          </w:p>
        </w:tc>
        <w:tc>
          <w:tcPr>
            <w:tcW w:w="53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851D99">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服务内容</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509B60">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计费</w:t>
            </w:r>
          </w:p>
          <w:p w14:paraId="332FBA79">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单位</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605C37">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价格管理</w:t>
            </w:r>
          </w:p>
          <w:p w14:paraId="6DD09001">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形式</w:t>
            </w:r>
          </w:p>
        </w:tc>
        <w:tc>
          <w:tcPr>
            <w:tcW w:w="28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20376A">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备注</w:t>
            </w:r>
          </w:p>
        </w:tc>
      </w:tr>
      <w:tr w14:paraId="19DD9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4" w:hRule="atLeast"/>
        </w:trPr>
        <w:tc>
          <w:tcPr>
            <w:tcW w:w="12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566F28">
            <w:pPr>
              <w:spacing w:line="56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1</w:t>
            </w:r>
          </w:p>
        </w:tc>
        <w:tc>
          <w:tcPr>
            <w:tcW w:w="20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D5C6D9">
            <w:pPr>
              <w:spacing w:line="56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遗体外运</w:t>
            </w:r>
          </w:p>
        </w:tc>
        <w:tc>
          <w:tcPr>
            <w:tcW w:w="53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9CB51F">
            <w:pPr>
              <w:spacing w:line="320" w:lineRule="exact"/>
              <w:ind w:firstLine="0"/>
              <w:jc w:val="left"/>
              <w:rPr>
                <w:rFonts w:ascii="Times New Roman" w:eastAsia="仿宋_GB2312"/>
                <w:color w:val="000000" w:themeColor="text1"/>
                <w:sz w:val="28"/>
                <w:szCs w:val="28"/>
              </w:rPr>
            </w:pPr>
            <w:r>
              <w:rPr>
                <w:rFonts w:ascii="Times New Roman" w:eastAsia="仿宋_GB2312"/>
                <w:color w:val="000000" w:themeColor="text1"/>
                <w:sz w:val="28"/>
                <w:szCs w:val="28"/>
              </w:rPr>
              <w:t>遗体运出属地殡仪馆服务范围。含遗体的收殓、抬尸、装卸、运输、接运消毒、接尸袋等服务和用品</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E4225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具/次</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ED298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28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0710C1">
            <w:pPr>
              <w:spacing w:line="320" w:lineRule="exact"/>
              <w:ind w:firstLine="0"/>
              <w:jc w:val="left"/>
              <w:rPr>
                <w:rFonts w:ascii="Times New Roman" w:eastAsia="仿宋_GB2312"/>
                <w:color w:val="000000" w:themeColor="text1"/>
                <w:sz w:val="28"/>
                <w:szCs w:val="28"/>
              </w:rPr>
            </w:pPr>
            <w:r>
              <w:rPr>
                <w:rFonts w:ascii="Times New Roman" w:eastAsia="仿宋_GB2312"/>
                <w:color w:val="000000" w:themeColor="text1"/>
                <w:sz w:val="28"/>
                <w:szCs w:val="28"/>
              </w:rPr>
              <w:t>国际外运按民政部相关规定执行</w:t>
            </w:r>
          </w:p>
        </w:tc>
      </w:tr>
      <w:tr w14:paraId="71DF06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1" w:hRule="atLeast"/>
        </w:trPr>
        <w:tc>
          <w:tcPr>
            <w:tcW w:w="12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24EA87">
            <w:pPr>
              <w:spacing w:line="56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2</w:t>
            </w:r>
          </w:p>
        </w:tc>
        <w:tc>
          <w:tcPr>
            <w:tcW w:w="20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31B321">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特殊遗体</w:t>
            </w:r>
          </w:p>
          <w:p w14:paraId="14BFFE2D">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整理</w:t>
            </w:r>
          </w:p>
        </w:tc>
        <w:tc>
          <w:tcPr>
            <w:tcW w:w="53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50A675">
            <w:pPr>
              <w:spacing w:line="320" w:lineRule="exact"/>
              <w:ind w:firstLine="0"/>
              <w:jc w:val="left"/>
              <w:rPr>
                <w:rFonts w:ascii="Times New Roman" w:eastAsia="仿宋_GB2312"/>
                <w:color w:val="000000" w:themeColor="text1"/>
                <w:sz w:val="28"/>
                <w:szCs w:val="28"/>
              </w:rPr>
            </w:pPr>
            <w:r>
              <w:rPr>
                <w:rFonts w:ascii="Times New Roman" w:eastAsia="仿宋_GB2312"/>
                <w:color w:val="000000" w:themeColor="text1"/>
                <w:sz w:val="28"/>
                <w:szCs w:val="28"/>
              </w:rPr>
              <w:t>含特殊遗体的穿（脱）衣、冷冻、防腐、洗尸、沐浴、馆内解剖移尸、遗体消毒（物理、药物）等服务；含腐败或不完整的特殊遗体整容化妆、修复、塑形、缝整等服务</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7EB669">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具</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25D8C9">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28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F21AE8">
            <w:pPr>
              <w:spacing w:line="320" w:lineRule="exact"/>
              <w:ind w:firstLine="0"/>
              <w:jc w:val="center"/>
              <w:rPr>
                <w:rFonts w:ascii="Times New Roman" w:eastAsia="仿宋_GB2312"/>
                <w:color w:val="000000" w:themeColor="text1"/>
                <w:sz w:val="28"/>
                <w:szCs w:val="28"/>
              </w:rPr>
            </w:pPr>
          </w:p>
        </w:tc>
      </w:tr>
      <w:tr w14:paraId="4BEBD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9" w:hRule="atLeast"/>
        </w:trPr>
        <w:tc>
          <w:tcPr>
            <w:tcW w:w="12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96BF32">
            <w:pPr>
              <w:spacing w:line="56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3</w:t>
            </w:r>
          </w:p>
        </w:tc>
        <w:tc>
          <w:tcPr>
            <w:tcW w:w="20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FD3228">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经营性公墓墓（格）</w:t>
            </w:r>
            <w:r>
              <w:rPr>
                <w:rFonts w:hint="eastAsia" w:ascii="Times New Roman" w:eastAsia="仿宋_GB2312"/>
                <w:color w:val="000000" w:themeColor="text1"/>
                <w:sz w:val="28"/>
                <w:szCs w:val="28"/>
              </w:rPr>
              <w:t>葬</w:t>
            </w:r>
          </w:p>
        </w:tc>
        <w:tc>
          <w:tcPr>
            <w:tcW w:w="53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CCD7F2">
            <w:pPr>
              <w:spacing w:line="320" w:lineRule="exact"/>
              <w:ind w:firstLine="0"/>
              <w:jc w:val="left"/>
              <w:rPr>
                <w:rFonts w:ascii="Times New Roman" w:eastAsia="仿宋_GB2312"/>
                <w:color w:val="000000" w:themeColor="text1"/>
                <w:sz w:val="28"/>
                <w:szCs w:val="28"/>
              </w:rPr>
            </w:pPr>
            <w:r>
              <w:rPr>
                <w:rFonts w:ascii="Times New Roman" w:eastAsia="仿宋_GB2312"/>
                <w:color w:val="000000" w:themeColor="text1"/>
                <w:sz w:val="28"/>
                <w:szCs w:val="28"/>
              </w:rPr>
              <w:t>墓（格）位建造，墓碑制作（含描漆、瓷像、刻字单穴50字以内、双穴80字以内）、安葬前清理、骨灰盒铺垫、防水防盗处理、封闭墓（格）位，</w:t>
            </w:r>
            <w:r>
              <w:rPr>
                <w:rFonts w:hint="eastAsia" w:ascii="Times New Roman" w:eastAsia="仿宋_GB2312"/>
                <w:color w:val="000000" w:themeColor="text1"/>
                <w:sz w:val="28"/>
                <w:szCs w:val="28"/>
              </w:rPr>
              <w:t>普通</w:t>
            </w:r>
            <w:r>
              <w:rPr>
                <w:rFonts w:ascii="Times New Roman" w:eastAsia="仿宋_GB2312"/>
                <w:color w:val="000000" w:themeColor="text1"/>
                <w:sz w:val="28"/>
                <w:szCs w:val="28"/>
              </w:rPr>
              <w:t>落葬仪式等服务和用品</w:t>
            </w:r>
          </w:p>
        </w:tc>
        <w:tc>
          <w:tcPr>
            <w:tcW w:w="14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EB3502">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穴、格位</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D7A5D60">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28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2D33BB">
            <w:pPr>
              <w:spacing w:line="320" w:lineRule="exact"/>
              <w:ind w:firstLine="0"/>
              <w:rPr>
                <w:rFonts w:ascii="Times New Roman" w:eastAsia="仿宋_GB2312"/>
                <w:color w:val="000000" w:themeColor="text1"/>
                <w:sz w:val="28"/>
                <w:szCs w:val="28"/>
              </w:rPr>
            </w:pPr>
            <w:r>
              <w:rPr>
                <w:rFonts w:ascii="Times New Roman" w:eastAsia="仿宋_GB2312"/>
                <w:color w:val="000000" w:themeColor="text1"/>
                <w:sz w:val="28"/>
                <w:szCs w:val="28"/>
              </w:rPr>
              <w:t>刻字超过规定字数、其他特殊需求的按照个性化需求协商约定。</w:t>
            </w:r>
          </w:p>
        </w:tc>
      </w:tr>
    </w:tbl>
    <w:p w14:paraId="46E81782">
      <w:pPr>
        <w:spacing w:line="400" w:lineRule="exact"/>
        <w:ind w:firstLine="276" w:firstLineChars="100"/>
        <w:jc w:val="left"/>
        <w:rPr>
          <w:rFonts w:ascii="Times New Roman" w:eastAsia="仿宋_GB2312"/>
          <w:color w:val="000000" w:themeColor="text1"/>
          <w:sz w:val="28"/>
          <w:szCs w:val="28"/>
        </w:rPr>
      </w:pPr>
      <w:r>
        <w:rPr>
          <w:rFonts w:ascii="Times New Roman" w:hAnsi="黑体" w:eastAsia="黑体"/>
          <w:color w:val="000000" w:themeColor="text1"/>
          <w:sz w:val="28"/>
          <w:szCs w:val="28"/>
        </w:rPr>
        <w:t>说明：</w:t>
      </w:r>
      <w:r>
        <w:rPr>
          <w:rFonts w:ascii="Times New Roman" w:eastAsia="仿宋_GB2312"/>
          <w:color w:val="000000" w:themeColor="text1"/>
          <w:sz w:val="28"/>
          <w:szCs w:val="28"/>
        </w:rPr>
        <w:t>1.特殊遗体指传染病、腐尸等非正常遗体。</w:t>
      </w:r>
    </w:p>
    <w:p w14:paraId="1A348FA3">
      <w:pPr>
        <w:spacing w:line="400" w:lineRule="exact"/>
        <w:ind w:firstLine="1104" w:firstLineChars="400"/>
        <w:jc w:val="left"/>
        <w:rPr>
          <w:rFonts w:ascii="Times New Roman" w:eastAsia="仿宋_GB2312"/>
          <w:color w:val="000000" w:themeColor="text1"/>
          <w:sz w:val="28"/>
          <w:szCs w:val="28"/>
        </w:rPr>
      </w:pPr>
      <w:r>
        <w:rPr>
          <w:rFonts w:ascii="Times New Roman" w:eastAsia="仿宋_GB2312"/>
          <w:color w:val="000000" w:themeColor="text1"/>
          <w:sz w:val="28"/>
          <w:szCs w:val="28"/>
        </w:rPr>
        <w:t>2.延伸服务项目清单以外符合殡葬政策的个性化需求另行协商约定。</w:t>
      </w:r>
    </w:p>
    <w:p w14:paraId="0EDA2357">
      <w:pPr>
        <w:spacing w:line="560" w:lineRule="exact"/>
        <w:ind w:firstLine="0"/>
        <w:jc w:val="left"/>
        <w:rPr>
          <w:rFonts w:ascii="Times New Roman" w:hAnsi="黑体" w:eastAsia="黑体"/>
          <w:szCs w:val="32"/>
        </w:rPr>
      </w:pPr>
    </w:p>
    <w:p w14:paraId="2CE278FA">
      <w:pPr>
        <w:spacing w:line="560" w:lineRule="exact"/>
        <w:ind w:firstLine="0"/>
        <w:jc w:val="left"/>
        <w:rPr>
          <w:rFonts w:ascii="Times New Roman" w:eastAsia="黑体"/>
          <w:szCs w:val="32"/>
        </w:rPr>
      </w:pPr>
      <w:r>
        <w:rPr>
          <w:rFonts w:ascii="Times New Roman" w:hAnsi="黑体" w:eastAsia="黑体"/>
          <w:szCs w:val="32"/>
        </w:rPr>
        <w:t>附件</w:t>
      </w:r>
      <w:r>
        <w:rPr>
          <w:rFonts w:ascii="Times New Roman" w:eastAsia="黑体"/>
          <w:szCs w:val="32"/>
        </w:rPr>
        <w:t>3</w:t>
      </w:r>
    </w:p>
    <w:p w14:paraId="677A5812">
      <w:pPr>
        <w:spacing w:line="560" w:lineRule="exact"/>
        <w:ind w:firstLine="0"/>
        <w:jc w:val="center"/>
        <w:rPr>
          <w:rFonts w:ascii="Times New Roman" w:eastAsia="方正小标宋_GBK"/>
          <w:color w:val="FF0000"/>
          <w:sz w:val="44"/>
          <w:szCs w:val="44"/>
        </w:rPr>
      </w:pPr>
      <w:r>
        <w:rPr>
          <w:rFonts w:ascii="Times New Roman" w:eastAsia="方正小标宋_GBK"/>
          <w:color w:val="000000" w:themeColor="text1"/>
          <w:sz w:val="44"/>
          <w:szCs w:val="44"/>
        </w:rPr>
        <w:t>淮安市级殡葬用品清单（试行）</w:t>
      </w:r>
    </w:p>
    <w:p w14:paraId="140C749C">
      <w:pPr>
        <w:spacing w:line="560" w:lineRule="exact"/>
        <w:ind w:firstLine="0"/>
        <w:jc w:val="center"/>
        <w:rPr>
          <w:rFonts w:ascii="Times New Roman" w:eastAsia="方正小标宋_GBK"/>
          <w:color w:val="FF0000"/>
          <w:sz w:val="44"/>
          <w:szCs w:val="44"/>
        </w:rPr>
      </w:pPr>
    </w:p>
    <w:tbl>
      <w:tblPr>
        <w:tblStyle w:val="16"/>
        <w:tblW w:w="15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39"/>
        <w:gridCol w:w="2918"/>
        <w:gridCol w:w="3948"/>
        <w:gridCol w:w="1417"/>
        <w:gridCol w:w="1853"/>
        <w:gridCol w:w="1383"/>
        <w:gridCol w:w="2458"/>
      </w:tblGrid>
      <w:tr w14:paraId="55B17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01555B">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序号</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82130AE">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用品名称</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473CDC">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用途、功能介绍</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BE2EDF">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计费单位</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3F98BE">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价格管理</w:t>
            </w:r>
          </w:p>
          <w:p w14:paraId="623BFF10">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形式</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B8E118">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是否惠民殡葬政策</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6AADC3">
            <w:pPr>
              <w:spacing w:line="320" w:lineRule="exact"/>
              <w:ind w:firstLine="0"/>
              <w:jc w:val="center"/>
              <w:rPr>
                <w:rFonts w:ascii="Times New Roman" w:eastAsia="黑体"/>
                <w:color w:val="000000" w:themeColor="text1"/>
                <w:sz w:val="28"/>
                <w:szCs w:val="28"/>
              </w:rPr>
            </w:pPr>
            <w:r>
              <w:rPr>
                <w:rFonts w:ascii="Times New Roman" w:hAnsi="黑体" w:eastAsia="黑体"/>
                <w:color w:val="000000" w:themeColor="text1"/>
                <w:sz w:val="28"/>
                <w:szCs w:val="28"/>
              </w:rPr>
              <w:t>备注</w:t>
            </w:r>
          </w:p>
        </w:tc>
      </w:tr>
      <w:tr w14:paraId="42D194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9D5C61">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1</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A3D12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骨灰盒</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B23B61">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用于装殓逝者骨灰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1167E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EAF0C8">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246A9A">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是</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0AA5ED">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惠民殡葬政策以外，坚持自愿原则</w:t>
            </w:r>
          </w:p>
        </w:tc>
      </w:tr>
      <w:tr w14:paraId="56DD74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D0ED0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2</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C5593A">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寿衣被</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DB8610">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逝者穿戴告别吊唁用品</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DBC9F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套</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7B8580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00EAA7">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398217">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4D1B88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2B1166">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3</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BC24C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花篮/花圈/桌花</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192B35">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守灵、吊唁用品</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144423">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99DAB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8BFA21">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9C4707">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19F9D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EBEEF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4</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36EAE9">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文明棺（一次性纸质）</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F8ABD0">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用于装运遗体</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D7AE87">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F9384F">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CA148F">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CD0CC6">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151B6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C35741">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5</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EC7E04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相片花/遗像</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969362">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用于装饰遗像/守灵吊唁用品</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5BBF0F">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个/份</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7AE1B6">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8C4A59">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09BB2D">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148750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E5DC9C">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6</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695CF">
            <w:pPr>
              <w:spacing w:line="320" w:lineRule="exact"/>
              <w:ind w:firstLine="0"/>
              <w:jc w:val="center"/>
              <w:rPr>
                <w:rFonts w:ascii="Times New Roman" w:eastAsia="仿宋_GB2312"/>
                <w:color w:val="000000" w:themeColor="text1"/>
                <w:sz w:val="28"/>
                <w:szCs w:val="28"/>
              </w:rPr>
            </w:pPr>
            <w:r>
              <w:rPr>
                <w:rFonts w:hint="eastAsia" w:ascii="Times New Roman" w:eastAsia="仿宋_GB2312"/>
                <w:color w:val="000000" w:themeColor="text1"/>
                <w:sz w:val="28"/>
                <w:szCs w:val="28"/>
                <w:lang w:eastAsia="zh-CN"/>
              </w:rPr>
              <w:t>签到簿</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11F8695">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用于丧属记账</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453788">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CB9EA6">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5116418">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D1C462">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47A851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A69DFA">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7</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E4EE3D">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黑袖章</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131D66">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用于丧属戴孝</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EFA47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FFEA8A">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CA2260">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F2E25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1B7E44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13BF60">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8</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B341A9">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香/香炉</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650670">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用于丧属祭祀、落葬</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2500E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把/个</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60A0B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EFE348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9B9852">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183017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ADCFCF8">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9</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983B9A">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小毛巾/矿泉水</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6A0BF80">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用于亲友吊唁</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9BF50F">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个/瓶</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17B90C">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BA019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C6EDDC">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13CA90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C17BE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10</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69CDBC">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贡  品</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8DEB69">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用于丧属祭祀</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21F4E9">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份</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2C8CF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41AE78">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8DECE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11CD8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A0383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11</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B8CBEF">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一次性丧葬用盆/黄纸</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EADEC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用于丧属祭祀</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D9B1B4">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个/份</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84B47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7B4DFBB">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6F28FF">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r w14:paraId="60658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620AF5">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12</w:t>
            </w:r>
          </w:p>
        </w:tc>
        <w:tc>
          <w:tcPr>
            <w:tcW w:w="29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B24556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鲜花</w:t>
            </w:r>
          </w:p>
        </w:tc>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A2AA70">
            <w:pPr>
              <w:spacing w:line="320" w:lineRule="exact"/>
              <w:ind w:firstLine="0"/>
              <w:jc w:val="left"/>
              <w:rPr>
                <w:rFonts w:ascii="Times New Roman" w:eastAsia="仿宋_GB2312"/>
                <w:color w:val="000000" w:themeColor="text1"/>
                <w:sz w:val="28"/>
                <w:szCs w:val="28"/>
              </w:rPr>
            </w:pPr>
            <w:r>
              <w:rPr>
                <w:rFonts w:ascii="Times New Roman" w:eastAsia="仿宋_GB2312"/>
                <w:color w:val="000000" w:themeColor="text1"/>
                <w:sz w:val="28"/>
                <w:szCs w:val="28"/>
              </w:rPr>
              <w:t>用于遗体装殓、集中守灵、告别、落葬、祭祀等</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4E83BD">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只/束</w:t>
            </w:r>
          </w:p>
        </w:tc>
        <w:tc>
          <w:tcPr>
            <w:tcW w:w="18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796FAE">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市场调节价</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6C35E9">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否</w:t>
            </w:r>
          </w:p>
        </w:tc>
        <w:tc>
          <w:tcPr>
            <w:tcW w:w="24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9C2856">
            <w:pPr>
              <w:spacing w:line="320" w:lineRule="exact"/>
              <w:ind w:firstLine="0"/>
              <w:jc w:val="center"/>
              <w:rPr>
                <w:rFonts w:ascii="Times New Roman" w:eastAsia="仿宋_GB2312"/>
                <w:color w:val="000000" w:themeColor="text1"/>
                <w:sz w:val="28"/>
                <w:szCs w:val="28"/>
              </w:rPr>
            </w:pPr>
            <w:r>
              <w:rPr>
                <w:rFonts w:ascii="Times New Roman" w:eastAsia="仿宋_GB2312"/>
                <w:color w:val="000000" w:themeColor="text1"/>
                <w:sz w:val="28"/>
                <w:szCs w:val="28"/>
              </w:rPr>
              <w:t>坚持自愿原则</w:t>
            </w:r>
          </w:p>
        </w:tc>
      </w:tr>
    </w:tbl>
    <w:p w14:paraId="22973AE1">
      <w:pPr>
        <w:spacing w:line="560" w:lineRule="exact"/>
        <w:ind w:firstLine="0"/>
        <w:rPr>
          <w:rFonts w:ascii="Times New Roman" w:eastAsia="仿宋_GB2312"/>
          <w:color w:val="000000" w:themeColor="text1"/>
          <w:szCs w:val="32"/>
        </w:rPr>
        <w:sectPr>
          <w:footerReference r:id="rId7" w:type="default"/>
          <w:footerReference r:id="rId8" w:type="even"/>
          <w:pgSz w:w="16838" w:h="11906" w:orient="landscape"/>
          <w:pgMar w:top="567" w:right="851" w:bottom="567" w:left="851" w:header="851" w:footer="1304" w:gutter="0"/>
          <w:paperSrc w:first="7" w:other="7"/>
          <w:cols w:space="720" w:num="1"/>
          <w:docGrid w:type="linesAndChars" w:linePitch="590" w:charSpace="-1024"/>
        </w:sectPr>
      </w:pPr>
    </w:p>
    <w:p w14:paraId="55309B97">
      <w:pPr>
        <w:spacing w:line="560" w:lineRule="exact"/>
        <w:ind w:firstLine="0"/>
        <w:rPr>
          <w:rFonts w:ascii="Times New Roman" w:eastAsia="黑体"/>
          <w:color w:val="000000" w:themeColor="text1"/>
          <w:szCs w:val="32"/>
        </w:rPr>
      </w:pPr>
      <w:r>
        <w:rPr>
          <w:rFonts w:ascii="Times New Roman" w:hAnsi="黑体" w:eastAsia="黑体"/>
          <w:color w:val="000000" w:themeColor="text1"/>
          <w:szCs w:val="32"/>
        </w:rPr>
        <w:t>附件</w:t>
      </w:r>
      <w:r>
        <w:rPr>
          <w:rFonts w:ascii="Times New Roman" w:eastAsia="黑体"/>
          <w:color w:val="000000" w:themeColor="text1"/>
          <w:szCs w:val="32"/>
        </w:rPr>
        <w:t>4</w:t>
      </w:r>
    </w:p>
    <w:p w14:paraId="7AF17399">
      <w:pPr>
        <w:jc w:val="center"/>
        <w:rPr>
          <w:rFonts w:ascii="Times New Roman" w:eastAsia="方正小标宋_GBK"/>
          <w:sz w:val="44"/>
          <w:szCs w:val="44"/>
        </w:rPr>
      </w:pPr>
      <w:r>
        <w:rPr>
          <w:rFonts w:ascii="Times New Roman" w:eastAsia="方正小标宋_GBK"/>
          <w:color w:val="000000" w:themeColor="text1"/>
          <w:sz w:val="44"/>
          <w:szCs w:val="44"/>
        </w:rPr>
        <w:t>公墓墓（格）葬费和维护管理费</w:t>
      </w:r>
      <w:r>
        <w:rPr>
          <w:rFonts w:ascii="Times New Roman" w:eastAsia="方正小标宋_GBK"/>
          <w:sz w:val="44"/>
          <w:szCs w:val="44"/>
        </w:rPr>
        <w:t>备案表</w:t>
      </w:r>
    </w:p>
    <w:p w14:paraId="45067610">
      <w:pPr>
        <w:widowControl/>
        <w:shd w:val="clear" w:color="auto" w:fill="FFFFFF"/>
        <w:jc w:val="left"/>
        <w:rPr>
          <w:rFonts w:ascii="Times New Roman" w:eastAsia="仿宋_GB2312"/>
          <w:color w:val="444444"/>
          <w:sz w:val="24"/>
          <w:szCs w:val="24"/>
          <w:shd w:val="clear" w:color="auto" w:fill="FFFFFF"/>
        </w:rPr>
      </w:pPr>
      <w:r>
        <w:rPr>
          <w:rFonts w:ascii="Times New Roman" w:eastAsia="仿宋_GB2312"/>
          <w:color w:val="000000"/>
          <w:spacing w:val="-8"/>
          <w:sz w:val="24"/>
          <w:szCs w:val="24"/>
          <w:shd w:val="clear" w:color="auto" w:fill="FFFFFF"/>
        </w:rPr>
        <w:t>申请单位（盖章）：　　　　　　　                  日期： 年　 月  日</w:t>
      </w:r>
    </w:p>
    <w:tbl>
      <w:tblPr>
        <w:tblStyle w:val="15"/>
        <w:tblW w:w="94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359"/>
        <w:gridCol w:w="1559"/>
        <w:gridCol w:w="649"/>
        <w:gridCol w:w="1050"/>
        <w:gridCol w:w="1275"/>
        <w:gridCol w:w="1416"/>
        <w:gridCol w:w="1168"/>
      </w:tblGrid>
      <w:tr w14:paraId="21EB9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14:paraId="2CF5BD62">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单位性质</w:t>
            </w:r>
          </w:p>
        </w:tc>
        <w:tc>
          <w:tcPr>
            <w:tcW w:w="2208" w:type="dxa"/>
            <w:gridSpan w:val="2"/>
            <w:shd w:val="clear" w:color="auto" w:fill="auto"/>
            <w:vAlign w:val="center"/>
          </w:tcPr>
          <w:p w14:paraId="7B1F6016">
            <w:pPr>
              <w:widowControl/>
              <w:spacing w:line="320" w:lineRule="exact"/>
              <w:ind w:firstLine="0"/>
              <w:jc w:val="center"/>
              <w:rPr>
                <w:rFonts w:ascii="Times New Roman" w:eastAsia="仿宋_GB2312"/>
                <w:color w:val="000000"/>
                <w:sz w:val="24"/>
                <w:szCs w:val="24"/>
              </w:rPr>
            </w:pPr>
          </w:p>
        </w:tc>
        <w:tc>
          <w:tcPr>
            <w:tcW w:w="2325" w:type="dxa"/>
            <w:gridSpan w:val="2"/>
            <w:shd w:val="clear" w:color="auto" w:fill="auto"/>
            <w:vAlign w:val="center"/>
          </w:tcPr>
          <w:p w14:paraId="494BBD2D">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组织机构或</w:t>
            </w:r>
          </w:p>
          <w:p w14:paraId="511A9E6A">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社会信用代码</w:t>
            </w:r>
          </w:p>
        </w:tc>
        <w:tc>
          <w:tcPr>
            <w:tcW w:w="2584" w:type="dxa"/>
            <w:gridSpan w:val="2"/>
            <w:shd w:val="clear" w:color="auto" w:fill="auto"/>
            <w:vAlign w:val="center"/>
          </w:tcPr>
          <w:p w14:paraId="0038058C">
            <w:pPr>
              <w:widowControl/>
              <w:spacing w:line="320" w:lineRule="exact"/>
              <w:ind w:firstLine="0"/>
              <w:jc w:val="center"/>
              <w:rPr>
                <w:rFonts w:ascii="Times New Roman" w:eastAsia="仿宋_GB2312"/>
                <w:color w:val="000000"/>
                <w:sz w:val="24"/>
                <w:szCs w:val="24"/>
              </w:rPr>
            </w:pPr>
          </w:p>
        </w:tc>
      </w:tr>
      <w:tr w14:paraId="2F696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14:paraId="6C7DBBCA">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负 责 人</w:t>
            </w:r>
          </w:p>
        </w:tc>
        <w:tc>
          <w:tcPr>
            <w:tcW w:w="2208" w:type="dxa"/>
            <w:gridSpan w:val="2"/>
            <w:shd w:val="clear" w:color="auto" w:fill="auto"/>
            <w:vAlign w:val="center"/>
          </w:tcPr>
          <w:p w14:paraId="56BAD2A4">
            <w:pPr>
              <w:widowControl/>
              <w:spacing w:line="320" w:lineRule="exact"/>
              <w:ind w:firstLine="0"/>
              <w:jc w:val="center"/>
              <w:rPr>
                <w:rFonts w:ascii="Times New Roman" w:eastAsia="仿宋_GB2312"/>
                <w:color w:val="000000"/>
                <w:sz w:val="24"/>
                <w:szCs w:val="24"/>
              </w:rPr>
            </w:pPr>
          </w:p>
        </w:tc>
        <w:tc>
          <w:tcPr>
            <w:tcW w:w="2325" w:type="dxa"/>
            <w:gridSpan w:val="2"/>
            <w:shd w:val="clear" w:color="auto" w:fill="auto"/>
            <w:vAlign w:val="center"/>
          </w:tcPr>
          <w:p w14:paraId="5B520025">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联系电话</w:t>
            </w:r>
          </w:p>
        </w:tc>
        <w:tc>
          <w:tcPr>
            <w:tcW w:w="2584" w:type="dxa"/>
            <w:gridSpan w:val="2"/>
            <w:shd w:val="clear" w:color="auto" w:fill="auto"/>
            <w:vAlign w:val="center"/>
          </w:tcPr>
          <w:p w14:paraId="15C39ACC">
            <w:pPr>
              <w:widowControl/>
              <w:spacing w:line="320" w:lineRule="exact"/>
              <w:ind w:firstLine="0"/>
              <w:jc w:val="center"/>
              <w:rPr>
                <w:rFonts w:ascii="Times New Roman" w:eastAsia="仿宋_GB2312"/>
                <w:color w:val="000000"/>
                <w:sz w:val="24"/>
                <w:szCs w:val="24"/>
              </w:rPr>
            </w:pPr>
          </w:p>
        </w:tc>
      </w:tr>
      <w:tr w14:paraId="42902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14:paraId="7B4F2D62">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联 系 人</w:t>
            </w:r>
          </w:p>
        </w:tc>
        <w:tc>
          <w:tcPr>
            <w:tcW w:w="2208" w:type="dxa"/>
            <w:gridSpan w:val="2"/>
            <w:shd w:val="clear" w:color="auto" w:fill="auto"/>
            <w:vAlign w:val="center"/>
          </w:tcPr>
          <w:p w14:paraId="453ACDD0">
            <w:pPr>
              <w:widowControl/>
              <w:spacing w:line="320" w:lineRule="exact"/>
              <w:ind w:firstLine="0"/>
              <w:jc w:val="center"/>
              <w:rPr>
                <w:rFonts w:ascii="Times New Roman" w:eastAsia="仿宋_GB2312"/>
                <w:color w:val="000000"/>
                <w:sz w:val="24"/>
                <w:szCs w:val="24"/>
              </w:rPr>
            </w:pPr>
          </w:p>
        </w:tc>
        <w:tc>
          <w:tcPr>
            <w:tcW w:w="2325" w:type="dxa"/>
            <w:gridSpan w:val="2"/>
            <w:shd w:val="clear" w:color="auto" w:fill="auto"/>
            <w:vAlign w:val="center"/>
          </w:tcPr>
          <w:p w14:paraId="0C8F4045">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联系电话</w:t>
            </w:r>
          </w:p>
        </w:tc>
        <w:tc>
          <w:tcPr>
            <w:tcW w:w="2584" w:type="dxa"/>
            <w:gridSpan w:val="2"/>
            <w:shd w:val="clear" w:color="auto" w:fill="auto"/>
            <w:vAlign w:val="center"/>
          </w:tcPr>
          <w:p w14:paraId="2A02BA64">
            <w:pPr>
              <w:widowControl/>
              <w:spacing w:line="320" w:lineRule="exact"/>
              <w:ind w:firstLine="0"/>
              <w:jc w:val="center"/>
              <w:rPr>
                <w:rFonts w:ascii="Times New Roman" w:eastAsia="仿宋_GB2312"/>
                <w:color w:val="000000"/>
                <w:sz w:val="24"/>
                <w:szCs w:val="24"/>
              </w:rPr>
            </w:pPr>
          </w:p>
        </w:tc>
      </w:tr>
      <w:tr w14:paraId="722570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14:paraId="0D44B78D">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单位地址</w:t>
            </w:r>
          </w:p>
        </w:tc>
        <w:tc>
          <w:tcPr>
            <w:tcW w:w="2208" w:type="dxa"/>
            <w:gridSpan w:val="2"/>
            <w:shd w:val="clear" w:color="auto" w:fill="auto"/>
            <w:vAlign w:val="center"/>
          </w:tcPr>
          <w:p w14:paraId="3AD1BFC2">
            <w:pPr>
              <w:widowControl/>
              <w:spacing w:line="320" w:lineRule="exact"/>
              <w:ind w:firstLine="0"/>
              <w:jc w:val="center"/>
              <w:rPr>
                <w:rFonts w:ascii="Times New Roman" w:eastAsia="仿宋_GB2312"/>
                <w:color w:val="000000"/>
                <w:sz w:val="24"/>
                <w:szCs w:val="24"/>
              </w:rPr>
            </w:pPr>
          </w:p>
        </w:tc>
        <w:tc>
          <w:tcPr>
            <w:tcW w:w="2325" w:type="dxa"/>
            <w:gridSpan w:val="2"/>
            <w:shd w:val="clear" w:color="auto" w:fill="auto"/>
            <w:vAlign w:val="center"/>
          </w:tcPr>
          <w:p w14:paraId="08B2B18D">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公墓属性</w:t>
            </w:r>
          </w:p>
        </w:tc>
        <w:tc>
          <w:tcPr>
            <w:tcW w:w="2584" w:type="dxa"/>
            <w:gridSpan w:val="2"/>
            <w:shd w:val="clear" w:color="auto" w:fill="auto"/>
            <w:vAlign w:val="center"/>
          </w:tcPr>
          <w:p w14:paraId="31E7511D">
            <w:pPr>
              <w:widowControl/>
              <w:spacing w:line="320" w:lineRule="exact"/>
              <w:ind w:firstLine="0"/>
              <w:jc w:val="center"/>
              <w:rPr>
                <w:rFonts w:ascii="Times New Roman" w:eastAsia="仿宋_GB2312"/>
                <w:color w:val="000000"/>
                <w:sz w:val="24"/>
                <w:szCs w:val="24"/>
              </w:rPr>
            </w:pPr>
          </w:p>
        </w:tc>
      </w:tr>
      <w:tr w14:paraId="237BD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0" w:hRule="atLeast"/>
          <w:jc w:val="center"/>
        </w:trPr>
        <w:tc>
          <w:tcPr>
            <w:tcW w:w="2359" w:type="dxa"/>
            <w:shd w:val="clear" w:color="auto" w:fill="auto"/>
            <w:tcMar>
              <w:left w:w="108" w:type="dxa"/>
              <w:right w:w="108" w:type="dxa"/>
            </w:tcMar>
            <w:vAlign w:val="center"/>
          </w:tcPr>
          <w:p w14:paraId="4E0C46B1">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公墓名称</w:t>
            </w:r>
          </w:p>
        </w:tc>
        <w:tc>
          <w:tcPr>
            <w:tcW w:w="2208" w:type="dxa"/>
            <w:gridSpan w:val="2"/>
            <w:shd w:val="clear" w:color="auto" w:fill="auto"/>
            <w:vAlign w:val="center"/>
          </w:tcPr>
          <w:p w14:paraId="534562E1">
            <w:pPr>
              <w:widowControl/>
              <w:spacing w:line="320" w:lineRule="exact"/>
              <w:ind w:firstLine="0"/>
              <w:jc w:val="center"/>
              <w:rPr>
                <w:rFonts w:ascii="Times New Roman" w:eastAsia="仿宋_GB2312"/>
                <w:color w:val="000000"/>
                <w:sz w:val="24"/>
                <w:szCs w:val="24"/>
              </w:rPr>
            </w:pPr>
          </w:p>
        </w:tc>
        <w:tc>
          <w:tcPr>
            <w:tcW w:w="2325" w:type="dxa"/>
            <w:gridSpan w:val="2"/>
            <w:shd w:val="clear" w:color="auto" w:fill="auto"/>
            <w:vAlign w:val="center"/>
          </w:tcPr>
          <w:p w14:paraId="0F62564E">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公墓位置</w:t>
            </w:r>
          </w:p>
        </w:tc>
        <w:tc>
          <w:tcPr>
            <w:tcW w:w="2584" w:type="dxa"/>
            <w:gridSpan w:val="2"/>
            <w:shd w:val="clear" w:color="auto" w:fill="auto"/>
            <w:vAlign w:val="center"/>
          </w:tcPr>
          <w:p w14:paraId="4E4D8BD1">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□乡镇  □城市</w:t>
            </w:r>
          </w:p>
        </w:tc>
      </w:tr>
      <w:tr w14:paraId="08B23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43" w:hRule="atLeast"/>
          <w:jc w:val="center"/>
        </w:trPr>
        <w:tc>
          <w:tcPr>
            <w:tcW w:w="2359" w:type="dxa"/>
            <w:shd w:val="clear" w:color="auto" w:fill="auto"/>
            <w:tcMar>
              <w:left w:w="108" w:type="dxa"/>
              <w:right w:w="108" w:type="dxa"/>
            </w:tcMar>
            <w:vAlign w:val="center"/>
          </w:tcPr>
          <w:p w14:paraId="0698E45C">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备案事项</w:t>
            </w:r>
          </w:p>
        </w:tc>
        <w:tc>
          <w:tcPr>
            <w:tcW w:w="7117" w:type="dxa"/>
            <w:gridSpan w:val="6"/>
            <w:shd w:val="clear" w:color="auto" w:fill="auto"/>
            <w:vAlign w:val="center"/>
          </w:tcPr>
          <w:p w14:paraId="06CD573B">
            <w:pPr>
              <w:widowControl/>
              <w:spacing w:line="320" w:lineRule="exact"/>
              <w:ind w:firstLine="0"/>
              <w:jc w:val="left"/>
              <w:rPr>
                <w:rFonts w:ascii="Times New Roman" w:eastAsia="仿宋_GB2312"/>
                <w:color w:val="000000"/>
                <w:sz w:val="24"/>
                <w:szCs w:val="24"/>
              </w:rPr>
            </w:pPr>
            <w:r>
              <w:rPr>
                <w:rFonts w:ascii="Times New Roman" w:eastAsia="仿宋_GB2312"/>
                <w:color w:val="000000"/>
                <w:sz w:val="24"/>
                <w:szCs w:val="24"/>
              </w:rPr>
              <w:t>1.□政府划拨土地的经营性公墓墓（格）葬费</w:t>
            </w:r>
          </w:p>
          <w:p w14:paraId="7B2CD0F6">
            <w:pPr>
              <w:widowControl/>
              <w:spacing w:line="320" w:lineRule="exact"/>
              <w:ind w:firstLine="0"/>
              <w:jc w:val="left"/>
              <w:rPr>
                <w:rFonts w:ascii="Times New Roman" w:eastAsia="仿宋_GB2312"/>
                <w:color w:val="000000"/>
                <w:sz w:val="24"/>
                <w:szCs w:val="24"/>
              </w:rPr>
            </w:pPr>
            <w:r>
              <w:rPr>
                <w:rFonts w:ascii="Times New Roman" w:eastAsia="仿宋_GB2312"/>
                <w:color w:val="000000"/>
                <w:sz w:val="24"/>
                <w:szCs w:val="24"/>
              </w:rPr>
              <w:t>2.□租用土地的经营性公墓墓（格）葬费</w:t>
            </w:r>
          </w:p>
          <w:p w14:paraId="4EA2AB88">
            <w:pPr>
              <w:widowControl/>
              <w:spacing w:line="320" w:lineRule="exact"/>
              <w:ind w:firstLine="0"/>
              <w:jc w:val="left"/>
              <w:rPr>
                <w:rFonts w:ascii="Times New Roman" w:eastAsia="仿宋_GB2312"/>
                <w:color w:val="000000"/>
                <w:sz w:val="24"/>
                <w:szCs w:val="24"/>
              </w:rPr>
            </w:pPr>
            <w:r>
              <w:rPr>
                <w:rFonts w:ascii="Times New Roman" w:eastAsia="仿宋_GB2312"/>
                <w:color w:val="000000"/>
                <w:sz w:val="24"/>
                <w:szCs w:val="24"/>
              </w:rPr>
              <w:t>3.□土地使用权为购买等其他方式获得的经营性公墓（格）墓葬费</w:t>
            </w:r>
          </w:p>
          <w:p w14:paraId="383BDE69">
            <w:pPr>
              <w:widowControl/>
              <w:spacing w:line="320" w:lineRule="exact"/>
              <w:ind w:firstLine="0"/>
              <w:jc w:val="left"/>
              <w:rPr>
                <w:rFonts w:ascii="Times New Roman" w:eastAsia="仿宋_GB2312"/>
                <w:color w:val="000000"/>
                <w:sz w:val="24"/>
                <w:szCs w:val="24"/>
              </w:rPr>
            </w:pPr>
            <w:r>
              <w:rPr>
                <w:rFonts w:ascii="Times New Roman" w:eastAsia="仿宋_GB2312"/>
                <w:color w:val="000000"/>
                <w:sz w:val="24"/>
                <w:szCs w:val="24"/>
              </w:rPr>
              <w:t>4.□公益性公墓墓（格）葬费</w:t>
            </w:r>
          </w:p>
          <w:p w14:paraId="730DCE69">
            <w:pPr>
              <w:widowControl/>
              <w:spacing w:line="320" w:lineRule="exact"/>
              <w:ind w:firstLine="0"/>
              <w:jc w:val="left"/>
              <w:rPr>
                <w:rFonts w:ascii="Times New Roman" w:eastAsia="仿宋_GB2312"/>
                <w:color w:val="000000"/>
                <w:sz w:val="24"/>
                <w:szCs w:val="24"/>
              </w:rPr>
            </w:pPr>
            <w:r>
              <w:rPr>
                <w:rFonts w:ascii="Times New Roman" w:eastAsia="仿宋_GB2312"/>
                <w:color w:val="000000"/>
                <w:sz w:val="24"/>
                <w:szCs w:val="24"/>
              </w:rPr>
              <w:t>5.□公墓维护管理费</w:t>
            </w:r>
          </w:p>
        </w:tc>
      </w:tr>
      <w:tr w14:paraId="17DB1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2359" w:type="dxa"/>
            <w:vMerge w:val="restart"/>
            <w:shd w:val="clear" w:color="auto" w:fill="auto"/>
            <w:tcMar>
              <w:left w:w="108" w:type="dxa"/>
              <w:right w:w="108" w:type="dxa"/>
            </w:tcMar>
            <w:vAlign w:val="center"/>
          </w:tcPr>
          <w:p w14:paraId="587A16FF">
            <w:pPr>
              <w:widowControl/>
              <w:spacing w:line="320" w:lineRule="exact"/>
              <w:ind w:firstLine="0"/>
              <w:jc w:val="center"/>
              <w:rPr>
                <w:rFonts w:ascii="Times New Roman" w:eastAsia="仿宋_GB2312"/>
                <w:color w:val="000000"/>
                <w:sz w:val="24"/>
                <w:szCs w:val="24"/>
              </w:rPr>
            </w:pPr>
            <w:r>
              <w:rPr>
                <w:rFonts w:ascii="Times New Roman" w:hAnsi="黑体" w:eastAsia="黑体"/>
                <w:color w:val="000000"/>
                <w:sz w:val="24"/>
                <w:szCs w:val="24"/>
              </w:rPr>
              <w:t>公墓墓（格）葬费</w:t>
            </w:r>
          </w:p>
        </w:tc>
        <w:tc>
          <w:tcPr>
            <w:tcW w:w="1559" w:type="dxa"/>
            <w:shd w:val="clear" w:color="auto" w:fill="auto"/>
            <w:vAlign w:val="center"/>
          </w:tcPr>
          <w:p w14:paraId="021CB4DE">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类型</w:t>
            </w:r>
          </w:p>
        </w:tc>
        <w:tc>
          <w:tcPr>
            <w:tcW w:w="1699" w:type="dxa"/>
            <w:gridSpan w:val="2"/>
            <w:shd w:val="clear" w:color="auto" w:fill="auto"/>
            <w:vAlign w:val="center"/>
          </w:tcPr>
          <w:p w14:paraId="33FDABC5">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备案墓地数量</w:t>
            </w:r>
          </w:p>
        </w:tc>
        <w:tc>
          <w:tcPr>
            <w:tcW w:w="1275" w:type="dxa"/>
            <w:shd w:val="clear" w:color="auto" w:fill="auto"/>
            <w:vAlign w:val="center"/>
          </w:tcPr>
          <w:p w14:paraId="275FC3D4">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占地面积</w:t>
            </w:r>
          </w:p>
        </w:tc>
        <w:tc>
          <w:tcPr>
            <w:tcW w:w="1416" w:type="dxa"/>
            <w:shd w:val="clear" w:color="auto" w:fill="auto"/>
            <w:vAlign w:val="center"/>
          </w:tcPr>
          <w:p w14:paraId="73B6E019">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备案</w:t>
            </w:r>
          </w:p>
          <w:p w14:paraId="67D7974F">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标准</w:t>
            </w:r>
          </w:p>
        </w:tc>
        <w:tc>
          <w:tcPr>
            <w:tcW w:w="1168" w:type="dxa"/>
            <w:shd w:val="clear" w:color="auto" w:fill="auto"/>
            <w:vAlign w:val="center"/>
          </w:tcPr>
          <w:p w14:paraId="0253E192">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执行</w:t>
            </w:r>
          </w:p>
          <w:p w14:paraId="5F0F85D4">
            <w:pPr>
              <w:widowControl/>
              <w:spacing w:line="320" w:lineRule="exact"/>
              <w:ind w:firstLine="0"/>
              <w:jc w:val="center"/>
              <w:rPr>
                <w:rFonts w:ascii="Times New Roman" w:eastAsia="仿宋_GB2312"/>
                <w:color w:val="000000"/>
                <w:sz w:val="24"/>
                <w:szCs w:val="24"/>
              </w:rPr>
            </w:pPr>
            <w:r>
              <w:rPr>
                <w:rFonts w:ascii="Times New Roman" w:eastAsia="仿宋_GB2312"/>
                <w:color w:val="000000"/>
                <w:sz w:val="24"/>
                <w:szCs w:val="24"/>
              </w:rPr>
              <w:t>时间</w:t>
            </w:r>
          </w:p>
        </w:tc>
      </w:tr>
      <w:tr w14:paraId="3B2E78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continue"/>
            <w:shd w:val="clear" w:color="auto" w:fill="auto"/>
            <w:tcMar>
              <w:left w:w="108" w:type="dxa"/>
              <w:right w:w="108" w:type="dxa"/>
            </w:tcMar>
            <w:vAlign w:val="center"/>
          </w:tcPr>
          <w:p w14:paraId="50EC7B87">
            <w:pPr>
              <w:spacing w:line="440" w:lineRule="exact"/>
              <w:ind w:firstLine="0"/>
              <w:jc w:val="center"/>
              <w:rPr>
                <w:rFonts w:ascii="Times New Roman" w:eastAsia="仿宋_GB2312"/>
                <w:sz w:val="24"/>
                <w:szCs w:val="24"/>
              </w:rPr>
            </w:pPr>
          </w:p>
        </w:tc>
        <w:tc>
          <w:tcPr>
            <w:tcW w:w="1559" w:type="dxa"/>
            <w:shd w:val="clear" w:color="auto" w:fill="auto"/>
            <w:vAlign w:val="center"/>
          </w:tcPr>
          <w:p w14:paraId="63C59114">
            <w:pPr>
              <w:spacing w:line="440" w:lineRule="exact"/>
              <w:ind w:firstLine="0"/>
              <w:rPr>
                <w:rFonts w:ascii="Times New Roman" w:eastAsia="仿宋_GB2312"/>
                <w:sz w:val="24"/>
                <w:szCs w:val="24"/>
              </w:rPr>
            </w:pPr>
            <w:r>
              <w:rPr>
                <w:rFonts w:ascii="Times New Roman" w:eastAsia="仿宋_GB2312"/>
                <w:sz w:val="24"/>
                <w:szCs w:val="24"/>
              </w:rPr>
              <w:t>例：单穴</w:t>
            </w:r>
          </w:p>
        </w:tc>
        <w:tc>
          <w:tcPr>
            <w:tcW w:w="1699" w:type="dxa"/>
            <w:gridSpan w:val="2"/>
            <w:shd w:val="clear" w:color="auto" w:fill="auto"/>
            <w:vAlign w:val="center"/>
          </w:tcPr>
          <w:p w14:paraId="570D1246">
            <w:pPr>
              <w:spacing w:line="440" w:lineRule="exact"/>
              <w:rPr>
                <w:rFonts w:ascii="Times New Roman" w:eastAsia="仿宋_GB2312"/>
                <w:sz w:val="24"/>
                <w:szCs w:val="24"/>
              </w:rPr>
            </w:pPr>
          </w:p>
        </w:tc>
        <w:tc>
          <w:tcPr>
            <w:tcW w:w="1275" w:type="dxa"/>
            <w:shd w:val="clear" w:color="auto" w:fill="auto"/>
            <w:vAlign w:val="center"/>
          </w:tcPr>
          <w:p w14:paraId="4E59D290">
            <w:pPr>
              <w:spacing w:line="440" w:lineRule="exact"/>
              <w:ind w:firstLine="0"/>
              <w:rPr>
                <w:rFonts w:ascii="Times New Roman" w:eastAsia="仿宋_GB2312"/>
                <w:sz w:val="24"/>
                <w:szCs w:val="24"/>
              </w:rPr>
            </w:pPr>
          </w:p>
        </w:tc>
        <w:tc>
          <w:tcPr>
            <w:tcW w:w="1416" w:type="dxa"/>
            <w:shd w:val="clear" w:color="auto" w:fill="auto"/>
            <w:vAlign w:val="center"/>
          </w:tcPr>
          <w:p w14:paraId="5A817345">
            <w:pPr>
              <w:spacing w:line="440" w:lineRule="exact"/>
              <w:ind w:firstLine="0"/>
              <w:jc w:val="center"/>
              <w:rPr>
                <w:rFonts w:ascii="Times New Roman" w:eastAsia="仿宋_GB2312"/>
                <w:sz w:val="24"/>
                <w:szCs w:val="24"/>
              </w:rPr>
            </w:pPr>
          </w:p>
        </w:tc>
        <w:tc>
          <w:tcPr>
            <w:tcW w:w="1168" w:type="dxa"/>
            <w:shd w:val="clear" w:color="auto" w:fill="auto"/>
            <w:vAlign w:val="center"/>
          </w:tcPr>
          <w:p w14:paraId="1E833848">
            <w:pPr>
              <w:spacing w:line="440" w:lineRule="exact"/>
              <w:ind w:firstLine="0"/>
              <w:jc w:val="center"/>
              <w:rPr>
                <w:rFonts w:ascii="Times New Roman" w:eastAsia="仿宋_GB2312"/>
                <w:sz w:val="24"/>
                <w:szCs w:val="24"/>
              </w:rPr>
            </w:pPr>
          </w:p>
        </w:tc>
      </w:tr>
      <w:tr w14:paraId="0B96A1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continue"/>
            <w:shd w:val="clear" w:color="auto" w:fill="auto"/>
            <w:tcMar>
              <w:left w:w="108" w:type="dxa"/>
              <w:right w:w="108" w:type="dxa"/>
            </w:tcMar>
            <w:vAlign w:val="center"/>
          </w:tcPr>
          <w:p w14:paraId="424B042C">
            <w:pPr>
              <w:spacing w:line="440" w:lineRule="exact"/>
              <w:ind w:firstLine="0"/>
              <w:jc w:val="center"/>
              <w:rPr>
                <w:rFonts w:ascii="Times New Roman" w:eastAsia="仿宋_GB2312"/>
                <w:sz w:val="24"/>
                <w:szCs w:val="24"/>
              </w:rPr>
            </w:pPr>
          </w:p>
        </w:tc>
        <w:tc>
          <w:tcPr>
            <w:tcW w:w="1559" w:type="dxa"/>
            <w:shd w:val="clear" w:color="auto" w:fill="auto"/>
            <w:vAlign w:val="center"/>
          </w:tcPr>
          <w:p w14:paraId="0EC256BC">
            <w:pPr>
              <w:spacing w:line="440" w:lineRule="exact"/>
              <w:ind w:firstLine="0"/>
              <w:rPr>
                <w:rFonts w:ascii="Times New Roman" w:eastAsia="仿宋_GB2312"/>
                <w:sz w:val="24"/>
                <w:szCs w:val="24"/>
              </w:rPr>
            </w:pPr>
            <w:r>
              <w:rPr>
                <w:rFonts w:ascii="Times New Roman" w:eastAsia="仿宋_GB2312"/>
                <w:sz w:val="24"/>
                <w:szCs w:val="24"/>
              </w:rPr>
              <w:t>例：双穴</w:t>
            </w:r>
          </w:p>
        </w:tc>
        <w:tc>
          <w:tcPr>
            <w:tcW w:w="1699" w:type="dxa"/>
            <w:gridSpan w:val="2"/>
            <w:shd w:val="clear" w:color="auto" w:fill="auto"/>
            <w:vAlign w:val="center"/>
          </w:tcPr>
          <w:p w14:paraId="44CA4683">
            <w:pPr>
              <w:spacing w:line="440" w:lineRule="exact"/>
              <w:ind w:firstLine="0"/>
              <w:jc w:val="center"/>
              <w:rPr>
                <w:rFonts w:ascii="Times New Roman" w:eastAsia="仿宋_GB2312"/>
                <w:sz w:val="24"/>
                <w:szCs w:val="24"/>
              </w:rPr>
            </w:pPr>
          </w:p>
        </w:tc>
        <w:tc>
          <w:tcPr>
            <w:tcW w:w="1275" w:type="dxa"/>
            <w:shd w:val="clear" w:color="auto" w:fill="auto"/>
            <w:vAlign w:val="center"/>
          </w:tcPr>
          <w:p w14:paraId="52B67494">
            <w:pPr>
              <w:spacing w:line="440" w:lineRule="exact"/>
              <w:ind w:firstLine="0"/>
              <w:jc w:val="center"/>
              <w:rPr>
                <w:rFonts w:ascii="Times New Roman" w:eastAsia="仿宋_GB2312"/>
                <w:sz w:val="24"/>
                <w:szCs w:val="24"/>
              </w:rPr>
            </w:pPr>
          </w:p>
        </w:tc>
        <w:tc>
          <w:tcPr>
            <w:tcW w:w="1416" w:type="dxa"/>
            <w:shd w:val="clear" w:color="auto" w:fill="auto"/>
            <w:vAlign w:val="center"/>
          </w:tcPr>
          <w:p w14:paraId="3D7FEBA8">
            <w:pPr>
              <w:spacing w:line="440" w:lineRule="exact"/>
              <w:ind w:firstLine="0"/>
              <w:jc w:val="center"/>
              <w:rPr>
                <w:rFonts w:ascii="Times New Roman" w:eastAsia="仿宋_GB2312"/>
                <w:sz w:val="24"/>
                <w:szCs w:val="24"/>
              </w:rPr>
            </w:pPr>
          </w:p>
        </w:tc>
        <w:tc>
          <w:tcPr>
            <w:tcW w:w="1168" w:type="dxa"/>
            <w:shd w:val="clear" w:color="auto" w:fill="auto"/>
            <w:vAlign w:val="center"/>
          </w:tcPr>
          <w:p w14:paraId="55ED5D34">
            <w:pPr>
              <w:spacing w:line="440" w:lineRule="exact"/>
              <w:ind w:firstLine="0"/>
              <w:jc w:val="center"/>
              <w:rPr>
                <w:rFonts w:ascii="Times New Roman" w:eastAsia="仿宋_GB2312"/>
                <w:sz w:val="24"/>
                <w:szCs w:val="24"/>
              </w:rPr>
            </w:pPr>
          </w:p>
        </w:tc>
      </w:tr>
      <w:tr w14:paraId="79A3CC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continue"/>
            <w:shd w:val="clear" w:color="auto" w:fill="auto"/>
            <w:tcMar>
              <w:left w:w="108" w:type="dxa"/>
              <w:right w:w="108" w:type="dxa"/>
            </w:tcMar>
            <w:vAlign w:val="center"/>
          </w:tcPr>
          <w:p w14:paraId="70BC3FC9">
            <w:pPr>
              <w:spacing w:line="440" w:lineRule="exact"/>
              <w:ind w:firstLine="0"/>
              <w:jc w:val="center"/>
              <w:rPr>
                <w:rFonts w:ascii="Times New Roman" w:eastAsia="仿宋_GB2312"/>
                <w:sz w:val="24"/>
                <w:szCs w:val="24"/>
              </w:rPr>
            </w:pPr>
          </w:p>
        </w:tc>
        <w:tc>
          <w:tcPr>
            <w:tcW w:w="1559" w:type="dxa"/>
            <w:shd w:val="clear" w:color="auto" w:fill="auto"/>
            <w:vAlign w:val="center"/>
          </w:tcPr>
          <w:p w14:paraId="14164025">
            <w:pPr>
              <w:spacing w:line="440" w:lineRule="exact"/>
              <w:ind w:firstLine="0"/>
              <w:jc w:val="center"/>
              <w:rPr>
                <w:rFonts w:ascii="Times New Roman" w:eastAsia="仿宋_GB2312"/>
                <w:sz w:val="24"/>
                <w:szCs w:val="24"/>
              </w:rPr>
            </w:pPr>
            <w:r>
              <w:rPr>
                <w:rFonts w:ascii="Times New Roman" w:eastAsia="仿宋_GB2312"/>
                <w:sz w:val="24"/>
                <w:szCs w:val="24"/>
              </w:rPr>
              <w:t>……</w:t>
            </w:r>
          </w:p>
        </w:tc>
        <w:tc>
          <w:tcPr>
            <w:tcW w:w="1699" w:type="dxa"/>
            <w:gridSpan w:val="2"/>
            <w:shd w:val="clear" w:color="auto" w:fill="auto"/>
            <w:vAlign w:val="center"/>
          </w:tcPr>
          <w:p w14:paraId="56CF5033">
            <w:pPr>
              <w:spacing w:line="440" w:lineRule="exact"/>
              <w:ind w:firstLine="0"/>
              <w:jc w:val="center"/>
              <w:rPr>
                <w:rFonts w:ascii="Times New Roman" w:eastAsia="仿宋_GB2312"/>
                <w:sz w:val="24"/>
                <w:szCs w:val="24"/>
              </w:rPr>
            </w:pPr>
          </w:p>
        </w:tc>
        <w:tc>
          <w:tcPr>
            <w:tcW w:w="1275" w:type="dxa"/>
            <w:shd w:val="clear" w:color="auto" w:fill="auto"/>
            <w:vAlign w:val="center"/>
          </w:tcPr>
          <w:p w14:paraId="5567D9E0">
            <w:pPr>
              <w:spacing w:line="440" w:lineRule="exact"/>
              <w:ind w:firstLine="0"/>
              <w:jc w:val="center"/>
              <w:rPr>
                <w:rFonts w:ascii="Times New Roman" w:eastAsia="仿宋_GB2312"/>
                <w:sz w:val="24"/>
                <w:szCs w:val="24"/>
              </w:rPr>
            </w:pPr>
          </w:p>
        </w:tc>
        <w:tc>
          <w:tcPr>
            <w:tcW w:w="1416" w:type="dxa"/>
            <w:shd w:val="clear" w:color="auto" w:fill="auto"/>
            <w:vAlign w:val="center"/>
          </w:tcPr>
          <w:p w14:paraId="115C613F">
            <w:pPr>
              <w:spacing w:line="440" w:lineRule="exact"/>
              <w:ind w:firstLine="0"/>
              <w:jc w:val="center"/>
              <w:rPr>
                <w:rFonts w:ascii="Times New Roman" w:eastAsia="仿宋_GB2312"/>
                <w:sz w:val="24"/>
                <w:szCs w:val="24"/>
              </w:rPr>
            </w:pPr>
          </w:p>
        </w:tc>
        <w:tc>
          <w:tcPr>
            <w:tcW w:w="1168" w:type="dxa"/>
            <w:shd w:val="clear" w:color="auto" w:fill="auto"/>
            <w:vAlign w:val="center"/>
          </w:tcPr>
          <w:p w14:paraId="0242B6AC">
            <w:pPr>
              <w:spacing w:line="440" w:lineRule="exact"/>
              <w:ind w:firstLine="0"/>
              <w:jc w:val="center"/>
              <w:rPr>
                <w:rFonts w:ascii="Times New Roman" w:eastAsia="仿宋_GB2312"/>
                <w:sz w:val="24"/>
                <w:szCs w:val="24"/>
              </w:rPr>
            </w:pPr>
          </w:p>
        </w:tc>
      </w:tr>
      <w:tr w14:paraId="63B49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restart"/>
            <w:shd w:val="clear" w:color="auto" w:fill="auto"/>
            <w:tcMar>
              <w:left w:w="108" w:type="dxa"/>
              <w:right w:w="108" w:type="dxa"/>
            </w:tcMar>
            <w:vAlign w:val="center"/>
          </w:tcPr>
          <w:p w14:paraId="02730936">
            <w:pPr>
              <w:spacing w:line="440" w:lineRule="exact"/>
              <w:ind w:firstLine="0"/>
              <w:jc w:val="center"/>
              <w:rPr>
                <w:rFonts w:ascii="Times New Roman" w:eastAsia="仿宋_GB2312"/>
                <w:color w:val="000000"/>
                <w:sz w:val="24"/>
                <w:szCs w:val="24"/>
              </w:rPr>
            </w:pPr>
            <w:r>
              <w:rPr>
                <w:rFonts w:ascii="Times New Roman" w:hAnsi="黑体" w:eastAsia="黑体"/>
                <w:color w:val="000000"/>
                <w:sz w:val="24"/>
                <w:szCs w:val="24"/>
              </w:rPr>
              <w:t>公墓维护管理费</w:t>
            </w:r>
          </w:p>
        </w:tc>
        <w:tc>
          <w:tcPr>
            <w:tcW w:w="1559" w:type="dxa"/>
            <w:shd w:val="clear" w:color="auto" w:fill="auto"/>
            <w:vAlign w:val="center"/>
          </w:tcPr>
          <w:p w14:paraId="519AB8CF">
            <w:pPr>
              <w:spacing w:line="440" w:lineRule="exact"/>
              <w:ind w:firstLine="0"/>
              <w:jc w:val="center"/>
              <w:rPr>
                <w:rFonts w:ascii="Times New Roman" w:eastAsia="仿宋_GB2312"/>
                <w:color w:val="000000"/>
                <w:sz w:val="24"/>
                <w:szCs w:val="24"/>
              </w:rPr>
            </w:pPr>
          </w:p>
        </w:tc>
        <w:tc>
          <w:tcPr>
            <w:tcW w:w="1699" w:type="dxa"/>
            <w:gridSpan w:val="2"/>
            <w:shd w:val="clear" w:color="auto" w:fill="auto"/>
            <w:vAlign w:val="center"/>
          </w:tcPr>
          <w:p w14:paraId="6A3135FD">
            <w:pPr>
              <w:spacing w:line="440" w:lineRule="exact"/>
              <w:ind w:firstLine="0"/>
              <w:jc w:val="center"/>
              <w:rPr>
                <w:rFonts w:ascii="Times New Roman" w:eastAsia="仿宋_GB2312"/>
                <w:color w:val="000000"/>
                <w:sz w:val="24"/>
                <w:szCs w:val="24"/>
              </w:rPr>
            </w:pPr>
          </w:p>
        </w:tc>
        <w:tc>
          <w:tcPr>
            <w:tcW w:w="1275" w:type="dxa"/>
            <w:shd w:val="clear" w:color="auto" w:fill="auto"/>
            <w:vAlign w:val="center"/>
          </w:tcPr>
          <w:p w14:paraId="7B5AE4C8">
            <w:pPr>
              <w:spacing w:line="440" w:lineRule="exact"/>
              <w:ind w:firstLine="0"/>
              <w:jc w:val="center"/>
              <w:rPr>
                <w:rFonts w:ascii="Times New Roman" w:eastAsia="仿宋_GB2312"/>
                <w:color w:val="000000"/>
                <w:sz w:val="24"/>
                <w:szCs w:val="24"/>
              </w:rPr>
            </w:pPr>
          </w:p>
        </w:tc>
        <w:tc>
          <w:tcPr>
            <w:tcW w:w="1416" w:type="dxa"/>
            <w:shd w:val="clear" w:color="auto" w:fill="auto"/>
            <w:vAlign w:val="center"/>
          </w:tcPr>
          <w:p w14:paraId="05F7794F">
            <w:pPr>
              <w:spacing w:line="440" w:lineRule="exact"/>
              <w:ind w:firstLine="0"/>
              <w:jc w:val="center"/>
              <w:rPr>
                <w:rFonts w:ascii="Times New Roman" w:eastAsia="仿宋_GB2312"/>
                <w:sz w:val="24"/>
                <w:szCs w:val="24"/>
              </w:rPr>
            </w:pPr>
          </w:p>
        </w:tc>
        <w:tc>
          <w:tcPr>
            <w:tcW w:w="1168" w:type="dxa"/>
            <w:shd w:val="clear" w:color="auto" w:fill="auto"/>
            <w:vAlign w:val="center"/>
          </w:tcPr>
          <w:p w14:paraId="546A2449">
            <w:pPr>
              <w:spacing w:line="440" w:lineRule="exact"/>
              <w:ind w:firstLine="0"/>
              <w:jc w:val="center"/>
              <w:rPr>
                <w:rFonts w:ascii="Times New Roman" w:eastAsia="仿宋_GB2312"/>
                <w:sz w:val="24"/>
                <w:szCs w:val="24"/>
              </w:rPr>
            </w:pPr>
          </w:p>
        </w:tc>
      </w:tr>
      <w:tr w14:paraId="772CE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2359" w:type="dxa"/>
            <w:vMerge w:val="continue"/>
            <w:shd w:val="clear" w:color="auto" w:fill="auto"/>
            <w:tcMar>
              <w:left w:w="108" w:type="dxa"/>
              <w:right w:w="108" w:type="dxa"/>
            </w:tcMar>
            <w:vAlign w:val="center"/>
          </w:tcPr>
          <w:p w14:paraId="06D00094">
            <w:pPr>
              <w:spacing w:line="440" w:lineRule="exact"/>
              <w:ind w:firstLine="0"/>
              <w:jc w:val="center"/>
              <w:rPr>
                <w:rFonts w:ascii="Times New Roman" w:eastAsia="仿宋_GB2312"/>
                <w:color w:val="000000"/>
                <w:sz w:val="24"/>
                <w:szCs w:val="24"/>
              </w:rPr>
            </w:pPr>
          </w:p>
        </w:tc>
        <w:tc>
          <w:tcPr>
            <w:tcW w:w="1559" w:type="dxa"/>
            <w:shd w:val="clear" w:color="auto" w:fill="auto"/>
            <w:vAlign w:val="center"/>
          </w:tcPr>
          <w:p w14:paraId="515C0943">
            <w:pPr>
              <w:spacing w:line="440" w:lineRule="exact"/>
              <w:ind w:firstLine="0"/>
              <w:jc w:val="center"/>
              <w:rPr>
                <w:rFonts w:ascii="Times New Roman" w:eastAsia="仿宋_GB2312"/>
                <w:color w:val="000000"/>
                <w:sz w:val="24"/>
                <w:szCs w:val="24"/>
              </w:rPr>
            </w:pPr>
          </w:p>
        </w:tc>
        <w:tc>
          <w:tcPr>
            <w:tcW w:w="1699" w:type="dxa"/>
            <w:gridSpan w:val="2"/>
            <w:shd w:val="clear" w:color="auto" w:fill="auto"/>
            <w:vAlign w:val="center"/>
          </w:tcPr>
          <w:p w14:paraId="66A9CBCC">
            <w:pPr>
              <w:spacing w:line="440" w:lineRule="exact"/>
              <w:ind w:firstLine="0"/>
              <w:jc w:val="center"/>
              <w:rPr>
                <w:rFonts w:ascii="Times New Roman" w:eastAsia="仿宋_GB2312"/>
                <w:color w:val="000000"/>
                <w:sz w:val="24"/>
                <w:szCs w:val="24"/>
              </w:rPr>
            </w:pPr>
          </w:p>
        </w:tc>
        <w:tc>
          <w:tcPr>
            <w:tcW w:w="1275" w:type="dxa"/>
            <w:shd w:val="clear" w:color="auto" w:fill="auto"/>
            <w:vAlign w:val="center"/>
          </w:tcPr>
          <w:p w14:paraId="40421969">
            <w:pPr>
              <w:spacing w:line="440" w:lineRule="exact"/>
              <w:ind w:firstLine="0"/>
              <w:jc w:val="center"/>
              <w:rPr>
                <w:rFonts w:ascii="Times New Roman" w:eastAsia="仿宋_GB2312"/>
                <w:color w:val="000000"/>
                <w:sz w:val="24"/>
                <w:szCs w:val="24"/>
              </w:rPr>
            </w:pPr>
          </w:p>
        </w:tc>
        <w:tc>
          <w:tcPr>
            <w:tcW w:w="1416" w:type="dxa"/>
            <w:shd w:val="clear" w:color="auto" w:fill="auto"/>
            <w:vAlign w:val="center"/>
          </w:tcPr>
          <w:p w14:paraId="078B3F1A">
            <w:pPr>
              <w:spacing w:line="440" w:lineRule="exact"/>
              <w:ind w:firstLine="0"/>
              <w:jc w:val="center"/>
              <w:rPr>
                <w:rFonts w:ascii="Times New Roman" w:eastAsia="仿宋_GB2312"/>
                <w:sz w:val="24"/>
                <w:szCs w:val="24"/>
              </w:rPr>
            </w:pPr>
          </w:p>
        </w:tc>
        <w:tc>
          <w:tcPr>
            <w:tcW w:w="1168" w:type="dxa"/>
            <w:shd w:val="clear" w:color="auto" w:fill="auto"/>
            <w:vAlign w:val="center"/>
          </w:tcPr>
          <w:p w14:paraId="5571749D">
            <w:pPr>
              <w:spacing w:line="440" w:lineRule="exact"/>
              <w:ind w:firstLine="0"/>
              <w:jc w:val="center"/>
              <w:rPr>
                <w:rFonts w:ascii="Times New Roman" w:eastAsia="仿宋_GB2312"/>
                <w:sz w:val="24"/>
                <w:szCs w:val="24"/>
              </w:rPr>
            </w:pPr>
          </w:p>
        </w:tc>
      </w:tr>
      <w:tr w14:paraId="72467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2359" w:type="dxa"/>
            <w:shd w:val="clear" w:color="auto" w:fill="auto"/>
            <w:tcMar>
              <w:left w:w="108" w:type="dxa"/>
              <w:right w:w="108" w:type="dxa"/>
            </w:tcMar>
            <w:vAlign w:val="center"/>
          </w:tcPr>
          <w:p w14:paraId="6C0A1B63">
            <w:pPr>
              <w:spacing w:line="440" w:lineRule="exact"/>
              <w:ind w:firstLine="0"/>
              <w:jc w:val="center"/>
              <w:rPr>
                <w:rFonts w:ascii="Times New Roman" w:eastAsia="黑体"/>
                <w:sz w:val="24"/>
                <w:szCs w:val="24"/>
              </w:rPr>
            </w:pPr>
            <w:r>
              <w:rPr>
                <w:rFonts w:ascii="Times New Roman" w:hAnsi="黑体" w:eastAsia="黑体"/>
                <w:sz w:val="24"/>
                <w:szCs w:val="24"/>
              </w:rPr>
              <w:t>备注</w:t>
            </w:r>
          </w:p>
        </w:tc>
        <w:tc>
          <w:tcPr>
            <w:tcW w:w="7117" w:type="dxa"/>
            <w:gridSpan w:val="6"/>
            <w:shd w:val="clear" w:color="auto" w:fill="auto"/>
            <w:tcMar>
              <w:left w:w="108" w:type="dxa"/>
              <w:right w:w="108" w:type="dxa"/>
            </w:tcMar>
            <w:vAlign w:val="center"/>
          </w:tcPr>
          <w:p w14:paraId="608E99FA">
            <w:pPr>
              <w:spacing w:line="440" w:lineRule="exact"/>
              <w:ind w:firstLine="0"/>
              <w:jc w:val="center"/>
              <w:rPr>
                <w:rFonts w:ascii="Times New Roman" w:eastAsia="仿宋_GB2312"/>
                <w:sz w:val="24"/>
                <w:szCs w:val="24"/>
              </w:rPr>
            </w:pPr>
          </w:p>
        </w:tc>
      </w:tr>
      <w:tr w14:paraId="48370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35" w:hRule="atLeast"/>
          <w:jc w:val="center"/>
        </w:trPr>
        <w:tc>
          <w:tcPr>
            <w:tcW w:w="4567" w:type="dxa"/>
            <w:gridSpan w:val="3"/>
            <w:shd w:val="clear" w:color="auto" w:fill="auto"/>
            <w:tcMar>
              <w:left w:w="108" w:type="dxa"/>
              <w:right w:w="108" w:type="dxa"/>
            </w:tcMar>
          </w:tcPr>
          <w:p w14:paraId="1F3220EA">
            <w:pPr>
              <w:spacing w:line="440" w:lineRule="exact"/>
              <w:ind w:firstLine="0"/>
              <w:jc w:val="left"/>
              <w:rPr>
                <w:rFonts w:ascii="Times New Roman" w:eastAsia="仿宋_GB2312"/>
                <w:sz w:val="24"/>
                <w:szCs w:val="24"/>
              </w:rPr>
            </w:pPr>
            <w:r>
              <w:rPr>
                <w:rFonts w:ascii="Times New Roman" w:eastAsia="仿宋_GB2312"/>
                <w:sz w:val="24"/>
                <w:szCs w:val="24"/>
              </w:rPr>
              <w:t>民政部门审核意见：</w:t>
            </w:r>
          </w:p>
          <w:p w14:paraId="0D340BE7">
            <w:pPr>
              <w:spacing w:line="440" w:lineRule="exact"/>
              <w:ind w:firstLine="0"/>
              <w:jc w:val="center"/>
              <w:rPr>
                <w:rFonts w:ascii="Times New Roman" w:eastAsia="仿宋_GB2312"/>
                <w:sz w:val="24"/>
                <w:szCs w:val="24"/>
              </w:rPr>
            </w:pPr>
          </w:p>
          <w:p w14:paraId="42A8F09B">
            <w:pPr>
              <w:spacing w:line="440" w:lineRule="exact"/>
              <w:ind w:firstLine="0"/>
              <w:jc w:val="center"/>
              <w:rPr>
                <w:rFonts w:ascii="Times New Roman" w:eastAsia="仿宋_GB2312"/>
                <w:sz w:val="24"/>
                <w:szCs w:val="24"/>
              </w:rPr>
            </w:pPr>
          </w:p>
          <w:p w14:paraId="5746FAF4">
            <w:pPr>
              <w:spacing w:line="440" w:lineRule="exact"/>
              <w:ind w:firstLine="0"/>
              <w:jc w:val="center"/>
              <w:rPr>
                <w:rFonts w:ascii="Times New Roman" w:eastAsia="仿宋_GB2312"/>
                <w:sz w:val="24"/>
                <w:szCs w:val="24"/>
              </w:rPr>
            </w:pPr>
            <w:r>
              <w:rPr>
                <w:rFonts w:ascii="Times New Roman" w:eastAsia="仿宋_GB2312"/>
                <w:sz w:val="24"/>
                <w:szCs w:val="24"/>
              </w:rPr>
              <w:t>（盖章）</w:t>
            </w:r>
          </w:p>
          <w:p w14:paraId="57B4DDC5">
            <w:pPr>
              <w:spacing w:line="440" w:lineRule="exact"/>
              <w:ind w:firstLine="0"/>
              <w:jc w:val="center"/>
              <w:rPr>
                <w:rFonts w:ascii="Times New Roman" w:eastAsia="仿宋_GB2312"/>
                <w:sz w:val="24"/>
                <w:szCs w:val="24"/>
              </w:rPr>
            </w:pPr>
            <w:r>
              <w:rPr>
                <w:rFonts w:ascii="Times New Roman" w:eastAsia="仿宋_GB2312"/>
                <w:sz w:val="24"/>
                <w:szCs w:val="24"/>
              </w:rPr>
              <w:t>日期</w:t>
            </w:r>
            <w:bookmarkStart w:id="8" w:name="_GoBack"/>
            <w:r>
              <w:rPr>
                <w:rFonts w:ascii="Times New Roman" w:eastAsia="仿宋_GB2312"/>
                <w:sz w:val="24"/>
                <w:szCs w:val="24"/>
              </w:rPr>
              <w:t>:</w:t>
            </w:r>
            <w:bookmarkEnd w:id="8"/>
          </w:p>
        </w:tc>
        <w:tc>
          <w:tcPr>
            <w:tcW w:w="4909" w:type="dxa"/>
            <w:gridSpan w:val="4"/>
            <w:shd w:val="clear" w:color="auto" w:fill="auto"/>
          </w:tcPr>
          <w:p w14:paraId="570E0A9D">
            <w:pPr>
              <w:spacing w:line="440" w:lineRule="exact"/>
              <w:ind w:firstLine="0"/>
              <w:jc w:val="left"/>
              <w:rPr>
                <w:rFonts w:ascii="Times New Roman" w:eastAsia="仿宋_GB2312"/>
                <w:sz w:val="24"/>
                <w:szCs w:val="24"/>
              </w:rPr>
            </w:pPr>
            <w:r>
              <w:rPr>
                <w:rFonts w:ascii="Times New Roman" w:eastAsia="仿宋_GB2312"/>
                <w:sz w:val="24"/>
                <w:szCs w:val="24"/>
              </w:rPr>
              <w:t xml:space="preserve"> 发展改革部门审核意见：</w:t>
            </w:r>
          </w:p>
          <w:p w14:paraId="1344DDD0">
            <w:pPr>
              <w:spacing w:line="440" w:lineRule="exact"/>
              <w:ind w:firstLine="0"/>
              <w:jc w:val="center"/>
              <w:rPr>
                <w:rFonts w:ascii="Times New Roman" w:eastAsia="仿宋_GB2312"/>
                <w:sz w:val="24"/>
                <w:szCs w:val="24"/>
              </w:rPr>
            </w:pPr>
          </w:p>
          <w:p w14:paraId="741A657B">
            <w:pPr>
              <w:spacing w:line="440" w:lineRule="exact"/>
              <w:ind w:firstLine="0"/>
              <w:jc w:val="center"/>
              <w:rPr>
                <w:rFonts w:ascii="Times New Roman" w:eastAsia="仿宋_GB2312"/>
                <w:sz w:val="24"/>
                <w:szCs w:val="24"/>
              </w:rPr>
            </w:pPr>
          </w:p>
          <w:p w14:paraId="647E4B45">
            <w:pPr>
              <w:spacing w:line="440" w:lineRule="exact"/>
              <w:ind w:firstLine="0"/>
              <w:jc w:val="center"/>
              <w:rPr>
                <w:rFonts w:ascii="Times New Roman" w:eastAsia="仿宋_GB2312"/>
                <w:sz w:val="24"/>
                <w:szCs w:val="24"/>
              </w:rPr>
            </w:pPr>
            <w:r>
              <w:rPr>
                <w:rFonts w:ascii="Times New Roman" w:eastAsia="仿宋_GB2312"/>
                <w:sz w:val="24"/>
                <w:szCs w:val="24"/>
              </w:rPr>
              <w:t>（盖章）</w:t>
            </w:r>
          </w:p>
          <w:p w14:paraId="131272AA">
            <w:pPr>
              <w:spacing w:line="440" w:lineRule="exact"/>
              <w:ind w:firstLine="0"/>
              <w:jc w:val="center"/>
              <w:rPr>
                <w:rFonts w:ascii="Times New Roman" w:eastAsia="仿宋_GB2312"/>
                <w:sz w:val="24"/>
                <w:szCs w:val="24"/>
              </w:rPr>
            </w:pPr>
            <w:r>
              <w:rPr>
                <w:rFonts w:ascii="Times New Roman" w:eastAsia="仿宋_GB2312"/>
                <w:sz w:val="24"/>
                <w:szCs w:val="24"/>
              </w:rPr>
              <w:t>日期:</w:t>
            </w:r>
          </w:p>
        </w:tc>
      </w:tr>
    </w:tbl>
    <w:p w14:paraId="605A91E4">
      <w:pPr>
        <w:spacing w:line="320" w:lineRule="atLeast"/>
        <w:ind w:left="692" w:leftChars="37" w:hanging="576" w:hangingChars="244"/>
        <w:rPr>
          <w:rFonts w:ascii="Times New Roman" w:eastAsia="仿宋_GB2312"/>
          <w:sz w:val="24"/>
          <w:szCs w:val="24"/>
        </w:rPr>
      </w:pPr>
      <w:r>
        <w:rPr>
          <w:rFonts w:ascii="Times New Roman" w:eastAsia="仿宋_GB2312"/>
          <w:sz w:val="24"/>
          <w:szCs w:val="24"/>
        </w:rPr>
        <w:t>注：1.公墓墓（格）葬费实行一价清，墓（格）葬费之外不得再收取有关的费用。</w:t>
      </w:r>
    </w:p>
    <w:p w14:paraId="57CE6994">
      <w:pPr>
        <w:spacing w:line="320" w:lineRule="atLeast"/>
        <w:ind w:left="864" w:leftChars="200" w:hanging="232" w:hangingChars="98"/>
        <w:rPr>
          <w:rFonts w:ascii="Times New Roman" w:eastAsia="仿宋_GB2312"/>
          <w:sz w:val="24"/>
          <w:szCs w:val="24"/>
        </w:rPr>
      </w:pPr>
      <w:r>
        <w:rPr>
          <w:rFonts w:ascii="Times New Roman" w:eastAsia="仿宋_GB2312"/>
          <w:sz w:val="24"/>
          <w:szCs w:val="24"/>
        </w:rPr>
        <w:t>2.备案表一式四份，发展改革、民政部门、公墓经营单位各保存一份，抄</w:t>
      </w:r>
    </w:p>
    <w:p w14:paraId="607BE52D">
      <w:pPr>
        <w:spacing w:line="320" w:lineRule="atLeast"/>
        <w:ind w:left="807" w:leftChars="182" w:hanging="232" w:hangingChars="98"/>
        <w:rPr>
          <w:rFonts w:ascii="Times New Roman" w:eastAsia="仿宋_GB2312"/>
          <w:sz w:val="24"/>
          <w:szCs w:val="24"/>
        </w:rPr>
      </w:pPr>
      <w:r>
        <w:rPr>
          <w:rFonts w:ascii="Times New Roman" w:eastAsia="仿宋_GB2312"/>
          <w:sz w:val="24"/>
          <w:szCs w:val="24"/>
        </w:rPr>
        <w:t xml:space="preserve">  送市场监管部门一份。</w:t>
      </w:r>
    </w:p>
    <w:p w14:paraId="7E0F3C81">
      <w:pPr>
        <w:spacing w:line="320" w:lineRule="atLeast"/>
        <w:ind w:left="632" w:leftChars="200" w:firstLine="0"/>
        <w:rPr>
          <w:rFonts w:ascii="Times New Roman" w:eastAsia="仿宋_GB2312"/>
          <w:sz w:val="24"/>
          <w:szCs w:val="24"/>
        </w:rPr>
      </w:pPr>
      <w:r>
        <w:rPr>
          <w:rFonts w:ascii="Times New Roman" w:eastAsia="仿宋_GB2312"/>
          <w:sz w:val="24"/>
          <w:szCs w:val="24"/>
        </w:rPr>
        <w:t>3.备案收费标准应向社会公示。</w:t>
      </w:r>
    </w:p>
    <w:sectPr>
      <w:footerReference r:id="rId9" w:type="default"/>
      <w:pgSz w:w="11906" w:h="16838"/>
      <w:pgMar w:top="567" w:right="1021" w:bottom="567" w:left="1021" w:header="851" w:footer="1304" w:gutter="0"/>
      <w:paperSrc w:first="7" w:other="7"/>
      <w:pgNumType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2F74E7-6448-4215-84D3-187235BE2B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2" w:fontKey="{23649090-BE91-49D3-8FEA-DEE7EE2FF08C}"/>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00000001" w:usb1="080E0000" w:usb2="00000000" w:usb3="00000000" w:csb0="00040000" w:csb1="00000000"/>
    <w:embedRegular r:id="rId3" w:fontKey="{FBC7D0B5-883C-41D3-B0B0-633217F89572}"/>
  </w:font>
  <w:font w:name="仿宋_GB2312">
    <w:altName w:val="仿宋"/>
    <w:panose1 w:val="02010609030101010101"/>
    <w:charset w:val="86"/>
    <w:family w:val="modern"/>
    <w:pitch w:val="default"/>
    <w:sig w:usb0="00000000" w:usb1="00000000" w:usb2="00000010" w:usb3="00000000" w:csb0="00040000" w:csb1="00000000"/>
    <w:embedRegular r:id="rId4" w:fontKey="{09B3B2DB-0DDA-4E87-B652-9C402C087C51}"/>
  </w:font>
  <w:font w:name="微软雅黑">
    <w:panose1 w:val="020B0503020204020204"/>
    <w:charset w:val="86"/>
    <w:family w:val="swiss"/>
    <w:pitch w:val="default"/>
    <w:sig w:usb0="80000287" w:usb1="2ACF3C50" w:usb2="00000016" w:usb3="00000000" w:csb0="0004001F" w:csb1="00000000"/>
    <w:embedRegular r:id="rId5" w:fontKey="{C4AD4D8F-06AE-4B09-9529-8BFA2EEE41AB}"/>
  </w:font>
  <w:font w:name="楷体">
    <w:panose1 w:val="02010609060101010101"/>
    <w:charset w:val="86"/>
    <w:family w:val="modern"/>
    <w:pitch w:val="default"/>
    <w:sig w:usb0="800002BF" w:usb1="38CF7CFA" w:usb2="00000016" w:usb3="00000000" w:csb0="00040001" w:csb1="00000000"/>
    <w:embedRegular r:id="rId6" w:fontKey="{95F174D6-C0AD-479E-8749-333DCE8A743B}"/>
  </w:font>
  <w:font w:name="方正楷体_GBK">
    <w:panose1 w:val="03000509000000000000"/>
    <w:charset w:val="86"/>
    <w:family w:val="script"/>
    <w:pitch w:val="default"/>
    <w:sig w:usb0="00000001" w:usb1="080E0000" w:usb2="00000000" w:usb3="00000000" w:csb0="00040000" w:csb1="00000000"/>
    <w:embedRegular r:id="rId7" w:fontKey="{D2398EBC-BF58-44C4-A075-BE7F7C2B4642}"/>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9D48">
    <w:pPr>
      <w:pStyle w:val="10"/>
      <w:spacing w:line="240" w:lineRule="auto"/>
      <w:ind w:firstLine="7560" w:firstLineChars="2700"/>
      <w:jc w:val="both"/>
      <w:rPr>
        <w:rFonts w:ascii="宋体" w:eastAsia="宋体"/>
      </w:rPr>
    </w:pPr>
    <w:r>
      <w:rPr>
        <w:rFonts w:hint="eastAsia" w:ascii="宋体" w:eastAsia="宋体"/>
      </w:rPr>
      <w:t xml:space="preserve"> — </w:t>
    </w:r>
    <w:r>
      <w:rPr>
        <w:rFonts w:ascii="宋体" w:eastAsia="宋体"/>
      </w:rPr>
      <w:fldChar w:fldCharType="begin"/>
    </w:r>
    <w:r>
      <w:rPr>
        <w:rFonts w:ascii="宋体" w:eastAsia="宋体"/>
      </w:rPr>
      <w:instrText xml:space="preserve"> PAGE   \* MERGEFORMAT </w:instrText>
    </w:r>
    <w:r>
      <w:rPr>
        <w:rFonts w:ascii="宋体" w:eastAsia="宋体"/>
      </w:rPr>
      <w:fldChar w:fldCharType="separate"/>
    </w:r>
    <w:r>
      <w:rPr>
        <w:rFonts w:ascii="宋体" w:eastAsia="宋体"/>
        <w:lang w:val="zh-CN"/>
      </w:rPr>
      <w:t>5</w:t>
    </w:r>
    <w:r>
      <w:rPr>
        <w:rFonts w:ascii="宋体" w:eastAsia="宋体"/>
      </w:rPr>
      <w:fldChar w:fldCharType="end"/>
    </w:r>
    <w:r>
      <w:rPr>
        <w:rFonts w:ascii="宋体" w:eastAsia="宋体"/>
      </w:rPr>
      <w:t xml:space="preserve"> </w:t>
    </w:r>
    <w:r>
      <w:rPr>
        <w:rFonts w:hint="eastAsia" w:ascii="宋体" w:eastAsia="宋体"/>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3CB8">
    <w:pPr>
      <w:pStyle w:val="10"/>
      <w:spacing w:line="240" w:lineRule="auto"/>
      <w:jc w:val="both"/>
      <w:rPr>
        <w:rFonts w:ascii="宋体" w:eastAsia="宋体"/>
        <w:szCs w:val="28"/>
      </w:rPr>
    </w:pPr>
    <w:r>
      <w:rPr>
        <w:rFonts w:hint="eastAsia" w:ascii="宋体" w:eastAsia="宋体"/>
        <w:szCs w:val="28"/>
      </w:rPr>
      <w:t xml:space="preserve"> — </w:t>
    </w:r>
    <w:r>
      <w:rPr>
        <w:rFonts w:ascii="宋体" w:eastAsia="宋体"/>
        <w:szCs w:val="28"/>
      </w:rPr>
      <w:fldChar w:fldCharType="begin"/>
    </w:r>
    <w:r>
      <w:rPr>
        <w:rFonts w:ascii="宋体" w:eastAsia="宋体"/>
        <w:szCs w:val="28"/>
      </w:rPr>
      <w:instrText xml:space="preserve"> PAGE   \* MERGEFORMAT </w:instrText>
    </w:r>
    <w:r>
      <w:rPr>
        <w:rFonts w:ascii="宋体" w:eastAsia="宋体"/>
        <w:szCs w:val="28"/>
      </w:rPr>
      <w:fldChar w:fldCharType="separate"/>
    </w:r>
    <w:r>
      <w:rPr>
        <w:rFonts w:ascii="宋体" w:eastAsia="宋体"/>
        <w:szCs w:val="28"/>
        <w:lang w:val="zh-CN"/>
      </w:rPr>
      <w:t>6</w:t>
    </w:r>
    <w:r>
      <w:rPr>
        <w:rFonts w:ascii="宋体" w:eastAsia="宋体"/>
        <w:szCs w:val="28"/>
      </w:rPr>
      <w:fldChar w:fldCharType="end"/>
    </w:r>
    <w:r>
      <w:rPr>
        <w:rFonts w:hint="eastAsia" w:ascii="宋体" w:eastAsia="宋体"/>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175F">
    <w:pPr>
      <w:pStyle w:val="10"/>
      <w:spacing w:line="240" w:lineRule="auto"/>
      <w:ind w:firstLine="7420" w:firstLineChars="2650"/>
      <w:jc w:val="both"/>
      <w:rPr>
        <w:rFonts w:ascii="宋体" w:eastAsia="宋体"/>
        <w:szCs w:val="28"/>
      </w:rPr>
    </w:pPr>
    <w:r>
      <w:rPr>
        <w:rFonts w:hint="eastAsia" w:ascii="宋体" w:eastAsia="宋体"/>
        <w:szCs w:val="28"/>
      </w:rPr>
      <w:t xml:space="preserve">— </w:t>
    </w:r>
    <w:r>
      <w:rPr>
        <w:rFonts w:ascii="宋体" w:eastAsia="宋体"/>
        <w:szCs w:val="28"/>
      </w:rPr>
      <w:fldChar w:fldCharType="begin"/>
    </w:r>
    <w:r>
      <w:rPr>
        <w:rFonts w:ascii="宋体" w:eastAsia="宋体"/>
        <w:szCs w:val="28"/>
      </w:rPr>
      <w:instrText xml:space="preserve"> PAGE   \* MERGEFORMAT </w:instrText>
    </w:r>
    <w:r>
      <w:rPr>
        <w:rFonts w:ascii="宋体" w:eastAsia="宋体"/>
        <w:szCs w:val="28"/>
      </w:rPr>
      <w:fldChar w:fldCharType="separate"/>
    </w:r>
    <w:r>
      <w:rPr>
        <w:rFonts w:ascii="宋体" w:eastAsia="宋体"/>
        <w:szCs w:val="28"/>
        <w:lang w:val="zh-CN"/>
      </w:rPr>
      <w:t>9</w:t>
    </w:r>
    <w:r>
      <w:rPr>
        <w:rFonts w:ascii="宋体" w:eastAsia="宋体"/>
        <w:szCs w:val="28"/>
      </w:rPr>
      <w:fldChar w:fldCharType="end"/>
    </w:r>
    <w:r>
      <w:rPr>
        <w:rFonts w:hint="eastAsia" w:ascii="宋体" w:eastAsia="宋体"/>
        <w:szCs w:val="28"/>
      </w:rPr>
      <w:t xml:space="preserve"> —</w:t>
    </w:r>
  </w:p>
  <w:p w14:paraId="377D8AB8">
    <w:pPr>
      <w:pStyle w:val="10"/>
      <w:spacing w:line="240" w:lineRule="auto"/>
      <w:jc w:val="both"/>
      <w:rPr>
        <w:rFonts w:ascii="宋体" w:eastAsia="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AD7C">
    <w:pPr>
      <w:pStyle w:val="10"/>
      <w:spacing w:line="240" w:lineRule="auto"/>
      <w:jc w:val="both"/>
      <w:rPr>
        <w:rFonts w:ascii="宋体" w:eastAsia="宋体"/>
        <w:szCs w:val="28"/>
      </w:rPr>
    </w:pPr>
    <w:r>
      <w:rPr>
        <w:rFonts w:hint="eastAsia" w:ascii="宋体" w:eastAsia="宋体"/>
        <w:szCs w:val="28"/>
      </w:rPr>
      <w:t xml:space="preserve">                                                     — </w:t>
    </w:r>
    <w:r>
      <w:rPr>
        <w:rFonts w:ascii="宋体" w:eastAsia="宋体"/>
        <w:szCs w:val="28"/>
      </w:rPr>
      <w:fldChar w:fldCharType="begin"/>
    </w:r>
    <w:r>
      <w:rPr>
        <w:rFonts w:ascii="宋体" w:eastAsia="宋体"/>
        <w:szCs w:val="28"/>
      </w:rPr>
      <w:instrText xml:space="preserve"> PAGE   \* MERGEFORMAT </w:instrText>
    </w:r>
    <w:r>
      <w:rPr>
        <w:rFonts w:ascii="宋体" w:eastAsia="宋体"/>
        <w:szCs w:val="28"/>
      </w:rPr>
      <w:fldChar w:fldCharType="separate"/>
    </w:r>
    <w:r>
      <w:rPr>
        <w:rFonts w:ascii="宋体" w:eastAsia="宋体"/>
        <w:szCs w:val="28"/>
        <w:lang w:val="zh-CN"/>
      </w:rPr>
      <w:t>8</w:t>
    </w:r>
    <w:r>
      <w:rPr>
        <w:rFonts w:ascii="宋体" w:eastAsia="宋体"/>
        <w:szCs w:val="28"/>
      </w:rPr>
      <w:fldChar w:fldCharType="end"/>
    </w:r>
    <w:r>
      <w:rPr>
        <w:rFonts w:hint="eastAsia" w:ascii="宋体" w:eastAsia="宋体"/>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56842">
    <w:pPr>
      <w:pStyle w:val="10"/>
      <w:spacing w:line="240" w:lineRule="auto"/>
      <w:rPr>
        <w:rFonts w:ascii="宋体" w:eastAsia="宋体"/>
        <w:szCs w:val="28"/>
      </w:rPr>
    </w:pPr>
    <w:r>
      <w:rPr>
        <w:rFonts w:hint="eastAsia" w:ascii="宋体" w:eastAsia="宋体"/>
        <w:szCs w:val="28"/>
      </w:rPr>
      <w:t xml:space="preserve">— </w:t>
    </w:r>
    <w:r>
      <w:rPr>
        <w:rFonts w:ascii="宋体" w:eastAsia="宋体"/>
        <w:szCs w:val="28"/>
      </w:rPr>
      <w:fldChar w:fldCharType="begin"/>
    </w:r>
    <w:r>
      <w:rPr>
        <w:rFonts w:ascii="宋体" w:eastAsia="宋体"/>
        <w:szCs w:val="28"/>
      </w:rPr>
      <w:instrText xml:space="preserve"> PAGE   \* MERGEFORMAT </w:instrText>
    </w:r>
    <w:r>
      <w:rPr>
        <w:rFonts w:ascii="宋体" w:eastAsia="宋体"/>
        <w:szCs w:val="28"/>
      </w:rPr>
      <w:fldChar w:fldCharType="separate"/>
    </w:r>
    <w:r>
      <w:rPr>
        <w:rFonts w:ascii="宋体" w:eastAsia="宋体"/>
        <w:szCs w:val="28"/>
        <w:lang w:val="zh-CN"/>
      </w:rPr>
      <w:t>1</w:t>
    </w:r>
    <w:r>
      <w:rPr>
        <w:rFonts w:ascii="宋体" w:eastAsia="宋体"/>
        <w:szCs w:val="28"/>
      </w:rPr>
      <w:fldChar w:fldCharType="end"/>
    </w:r>
    <w:r>
      <w:rPr>
        <w:rFonts w:ascii="宋体" w:eastAsia="宋体"/>
        <w:szCs w:val="28"/>
      </w:rPr>
      <w:t>1</w:t>
    </w:r>
    <w:r>
      <w:rPr>
        <w:rFonts w:hint="eastAsia" w:ascii="宋体" w:eastAsia="宋体"/>
        <w:szCs w:val="28"/>
      </w:rPr>
      <w:t xml:space="preserve"> —</w:t>
    </w:r>
  </w:p>
  <w:p w14:paraId="00583A4A">
    <w:pPr>
      <w:pStyle w:val="10"/>
      <w:spacing w:line="240" w:lineRule="auto"/>
      <w:jc w:val="both"/>
      <w:rPr>
        <w:rFonts w:ascii="宋体" w:eastAsia="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dit="readOnly" w:enforcement="0"/>
  <w:defaultTabStop w:val="425"/>
  <w:evenAndOddHeaders w:val="1"/>
  <w:drawingGridHorizontalSpacing w:val="315"/>
  <w:drawingGridVerticalSpacing w:val="29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M2E5MDg5NzgxODQ5YWI5NmEwYWM1OTYxMzY4MDgifQ=="/>
  </w:docVars>
  <w:rsids>
    <w:rsidRoot w:val="00981A20"/>
    <w:rsid w:val="00000221"/>
    <w:rsid w:val="0000092D"/>
    <w:rsid w:val="000034B0"/>
    <w:rsid w:val="00006EC9"/>
    <w:rsid w:val="000072B8"/>
    <w:rsid w:val="00015290"/>
    <w:rsid w:val="00015D9F"/>
    <w:rsid w:val="00016B42"/>
    <w:rsid w:val="00016B4E"/>
    <w:rsid w:val="00020355"/>
    <w:rsid w:val="00020925"/>
    <w:rsid w:val="00024C6F"/>
    <w:rsid w:val="00026017"/>
    <w:rsid w:val="0002719C"/>
    <w:rsid w:val="00033663"/>
    <w:rsid w:val="000349F9"/>
    <w:rsid w:val="00035D83"/>
    <w:rsid w:val="00035FAE"/>
    <w:rsid w:val="00040149"/>
    <w:rsid w:val="0004021C"/>
    <w:rsid w:val="000502E0"/>
    <w:rsid w:val="00050C51"/>
    <w:rsid w:val="0005469C"/>
    <w:rsid w:val="0005519F"/>
    <w:rsid w:val="00055436"/>
    <w:rsid w:val="000554FB"/>
    <w:rsid w:val="00061494"/>
    <w:rsid w:val="00063E90"/>
    <w:rsid w:val="00065D66"/>
    <w:rsid w:val="000661B9"/>
    <w:rsid w:val="000664A8"/>
    <w:rsid w:val="00066B6F"/>
    <w:rsid w:val="00067B7B"/>
    <w:rsid w:val="00070203"/>
    <w:rsid w:val="00070306"/>
    <w:rsid w:val="00072475"/>
    <w:rsid w:val="00076237"/>
    <w:rsid w:val="000818CB"/>
    <w:rsid w:val="0008279E"/>
    <w:rsid w:val="00082958"/>
    <w:rsid w:val="00083889"/>
    <w:rsid w:val="00084741"/>
    <w:rsid w:val="00084A1E"/>
    <w:rsid w:val="00085088"/>
    <w:rsid w:val="000852C3"/>
    <w:rsid w:val="00085A20"/>
    <w:rsid w:val="00086744"/>
    <w:rsid w:val="000869B1"/>
    <w:rsid w:val="000909EE"/>
    <w:rsid w:val="000923AB"/>
    <w:rsid w:val="00094B30"/>
    <w:rsid w:val="00097433"/>
    <w:rsid w:val="000A02F9"/>
    <w:rsid w:val="000A321F"/>
    <w:rsid w:val="000A3EC8"/>
    <w:rsid w:val="000A4676"/>
    <w:rsid w:val="000B20D0"/>
    <w:rsid w:val="000B25B6"/>
    <w:rsid w:val="000B35D6"/>
    <w:rsid w:val="000B36E1"/>
    <w:rsid w:val="000B4158"/>
    <w:rsid w:val="000B573F"/>
    <w:rsid w:val="000B5939"/>
    <w:rsid w:val="000B59FD"/>
    <w:rsid w:val="000C1DC3"/>
    <w:rsid w:val="000C244D"/>
    <w:rsid w:val="000C5EF7"/>
    <w:rsid w:val="000C66CF"/>
    <w:rsid w:val="000D02E8"/>
    <w:rsid w:val="000D3091"/>
    <w:rsid w:val="000D456A"/>
    <w:rsid w:val="000E1DBF"/>
    <w:rsid w:val="000E2182"/>
    <w:rsid w:val="000E2B6E"/>
    <w:rsid w:val="000E5140"/>
    <w:rsid w:val="000E770B"/>
    <w:rsid w:val="000E7EB9"/>
    <w:rsid w:val="000F3540"/>
    <w:rsid w:val="000F4DCD"/>
    <w:rsid w:val="000F67E0"/>
    <w:rsid w:val="0010042B"/>
    <w:rsid w:val="00101835"/>
    <w:rsid w:val="00104038"/>
    <w:rsid w:val="001047D8"/>
    <w:rsid w:val="00105DF3"/>
    <w:rsid w:val="00107C2B"/>
    <w:rsid w:val="0011108D"/>
    <w:rsid w:val="00112AAE"/>
    <w:rsid w:val="001136AE"/>
    <w:rsid w:val="001143D2"/>
    <w:rsid w:val="00116DCE"/>
    <w:rsid w:val="0012083A"/>
    <w:rsid w:val="00120903"/>
    <w:rsid w:val="00120E30"/>
    <w:rsid w:val="00123EF0"/>
    <w:rsid w:val="001251FE"/>
    <w:rsid w:val="00127E35"/>
    <w:rsid w:val="00131874"/>
    <w:rsid w:val="00132EAD"/>
    <w:rsid w:val="00133495"/>
    <w:rsid w:val="0013359C"/>
    <w:rsid w:val="00134D98"/>
    <w:rsid w:val="00135841"/>
    <w:rsid w:val="00142379"/>
    <w:rsid w:val="00142753"/>
    <w:rsid w:val="00144931"/>
    <w:rsid w:val="0014534D"/>
    <w:rsid w:val="00147389"/>
    <w:rsid w:val="0015141D"/>
    <w:rsid w:val="00152650"/>
    <w:rsid w:val="00153679"/>
    <w:rsid w:val="00153945"/>
    <w:rsid w:val="0015498A"/>
    <w:rsid w:val="001555B2"/>
    <w:rsid w:val="001561E6"/>
    <w:rsid w:val="00156EC6"/>
    <w:rsid w:val="00160A96"/>
    <w:rsid w:val="0016202C"/>
    <w:rsid w:val="001632D8"/>
    <w:rsid w:val="00171554"/>
    <w:rsid w:val="00171970"/>
    <w:rsid w:val="00171F28"/>
    <w:rsid w:val="00173707"/>
    <w:rsid w:val="00174664"/>
    <w:rsid w:val="00174FDB"/>
    <w:rsid w:val="00175D5E"/>
    <w:rsid w:val="001761AD"/>
    <w:rsid w:val="0017633B"/>
    <w:rsid w:val="00180077"/>
    <w:rsid w:val="00180799"/>
    <w:rsid w:val="00180E4F"/>
    <w:rsid w:val="00180F46"/>
    <w:rsid w:val="001810FE"/>
    <w:rsid w:val="001813B7"/>
    <w:rsid w:val="00181518"/>
    <w:rsid w:val="00181F24"/>
    <w:rsid w:val="00182CD1"/>
    <w:rsid w:val="00182E68"/>
    <w:rsid w:val="001846DA"/>
    <w:rsid w:val="00186545"/>
    <w:rsid w:val="00186D7F"/>
    <w:rsid w:val="001876EB"/>
    <w:rsid w:val="00190BEA"/>
    <w:rsid w:val="00191265"/>
    <w:rsid w:val="00192FD9"/>
    <w:rsid w:val="0019484C"/>
    <w:rsid w:val="00197133"/>
    <w:rsid w:val="00197455"/>
    <w:rsid w:val="001A0EE9"/>
    <w:rsid w:val="001A531F"/>
    <w:rsid w:val="001A600E"/>
    <w:rsid w:val="001B03C1"/>
    <w:rsid w:val="001B2C0C"/>
    <w:rsid w:val="001B3CB9"/>
    <w:rsid w:val="001B7C35"/>
    <w:rsid w:val="001C0568"/>
    <w:rsid w:val="001C0669"/>
    <w:rsid w:val="001C11BC"/>
    <w:rsid w:val="001C11CC"/>
    <w:rsid w:val="001C1946"/>
    <w:rsid w:val="001C44CE"/>
    <w:rsid w:val="001C4731"/>
    <w:rsid w:val="001C6B4D"/>
    <w:rsid w:val="001D18D4"/>
    <w:rsid w:val="001D1B66"/>
    <w:rsid w:val="001D4018"/>
    <w:rsid w:val="001D403F"/>
    <w:rsid w:val="001D7320"/>
    <w:rsid w:val="001E1A2D"/>
    <w:rsid w:val="001E27C6"/>
    <w:rsid w:val="001E2993"/>
    <w:rsid w:val="001E3677"/>
    <w:rsid w:val="001E3835"/>
    <w:rsid w:val="001E490E"/>
    <w:rsid w:val="001F0C71"/>
    <w:rsid w:val="001F0E18"/>
    <w:rsid w:val="001F223E"/>
    <w:rsid w:val="001F403A"/>
    <w:rsid w:val="00200E11"/>
    <w:rsid w:val="00202695"/>
    <w:rsid w:val="00202AA3"/>
    <w:rsid w:val="002041D7"/>
    <w:rsid w:val="0020575C"/>
    <w:rsid w:val="0020692B"/>
    <w:rsid w:val="00207F6B"/>
    <w:rsid w:val="00210EB6"/>
    <w:rsid w:val="00216DA5"/>
    <w:rsid w:val="0022353D"/>
    <w:rsid w:val="0022356B"/>
    <w:rsid w:val="00225198"/>
    <w:rsid w:val="00225F6E"/>
    <w:rsid w:val="00227E2E"/>
    <w:rsid w:val="0023054E"/>
    <w:rsid w:val="00230D9D"/>
    <w:rsid w:val="00230E52"/>
    <w:rsid w:val="00232255"/>
    <w:rsid w:val="00233B83"/>
    <w:rsid w:val="00234D51"/>
    <w:rsid w:val="00234E5A"/>
    <w:rsid w:val="00234EAA"/>
    <w:rsid w:val="00236186"/>
    <w:rsid w:val="00236BD8"/>
    <w:rsid w:val="002371E6"/>
    <w:rsid w:val="00237B03"/>
    <w:rsid w:val="00241528"/>
    <w:rsid w:val="00243ADF"/>
    <w:rsid w:val="00245375"/>
    <w:rsid w:val="002478DA"/>
    <w:rsid w:val="00250A85"/>
    <w:rsid w:val="00252A58"/>
    <w:rsid w:val="00253E76"/>
    <w:rsid w:val="002622A8"/>
    <w:rsid w:val="00262E69"/>
    <w:rsid w:val="00265DBC"/>
    <w:rsid w:val="00267886"/>
    <w:rsid w:val="0027099A"/>
    <w:rsid w:val="00273CF5"/>
    <w:rsid w:val="002774A9"/>
    <w:rsid w:val="00280A25"/>
    <w:rsid w:val="00281428"/>
    <w:rsid w:val="00281A50"/>
    <w:rsid w:val="00281D53"/>
    <w:rsid w:val="0028287A"/>
    <w:rsid w:val="00282D32"/>
    <w:rsid w:val="002838B7"/>
    <w:rsid w:val="002859EC"/>
    <w:rsid w:val="00291433"/>
    <w:rsid w:val="002920B6"/>
    <w:rsid w:val="002932D0"/>
    <w:rsid w:val="0029603D"/>
    <w:rsid w:val="002A073E"/>
    <w:rsid w:val="002A2CFA"/>
    <w:rsid w:val="002B1B07"/>
    <w:rsid w:val="002B2FD7"/>
    <w:rsid w:val="002B4AB1"/>
    <w:rsid w:val="002B5349"/>
    <w:rsid w:val="002B5F50"/>
    <w:rsid w:val="002B6018"/>
    <w:rsid w:val="002B62BB"/>
    <w:rsid w:val="002B76E5"/>
    <w:rsid w:val="002C1BDC"/>
    <w:rsid w:val="002C38BE"/>
    <w:rsid w:val="002C4C49"/>
    <w:rsid w:val="002C4CAD"/>
    <w:rsid w:val="002C64D2"/>
    <w:rsid w:val="002D2D3C"/>
    <w:rsid w:val="002D3E2F"/>
    <w:rsid w:val="002D4585"/>
    <w:rsid w:val="002D739B"/>
    <w:rsid w:val="002E0491"/>
    <w:rsid w:val="002E2013"/>
    <w:rsid w:val="002E4369"/>
    <w:rsid w:val="002F0B26"/>
    <w:rsid w:val="002F18FD"/>
    <w:rsid w:val="002F3ACE"/>
    <w:rsid w:val="002F55BA"/>
    <w:rsid w:val="002F5E8D"/>
    <w:rsid w:val="003023A7"/>
    <w:rsid w:val="003025A2"/>
    <w:rsid w:val="00303C60"/>
    <w:rsid w:val="00305BE0"/>
    <w:rsid w:val="00306F56"/>
    <w:rsid w:val="00307F4B"/>
    <w:rsid w:val="003107D0"/>
    <w:rsid w:val="00315D39"/>
    <w:rsid w:val="003166CA"/>
    <w:rsid w:val="00316D32"/>
    <w:rsid w:val="00317419"/>
    <w:rsid w:val="003221CA"/>
    <w:rsid w:val="003224C6"/>
    <w:rsid w:val="00325258"/>
    <w:rsid w:val="00331ED1"/>
    <w:rsid w:val="003331AD"/>
    <w:rsid w:val="00334B62"/>
    <w:rsid w:val="003353D4"/>
    <w:rsid w:val="00337E39"/>
    <w:rsid w:val="00341DC7"/>
    <w:rsid w:val="003445F8"/>
    <w:rsid w:val="0034621D"/>
    <w:rsid w:val="00347ED4"/>
    <w:rsid w:val="00353E98"/>
    <w:rsid w:val="0035483C"/>
    <w:rsid w:val="003556B3"/>
    <w:rsid w:val="00360D69"/>
    <w:rsid w:val="00362761"/>
    <w:rsid w:val="00364CAB"/>
    <w:rsid w:val="0036634C"/>
    <w:rsid w:val="00366442"/>
    <w:rsid w:val="00366B87"/>
    <w:rsid w:val="0037014A"/>
    <w:rsid w:val="00370794"/>
    <w:rsid w:val="00372FCC"/>
    <w:rsid w:val="00373D4B"/>
    <w:rsid w:val="003765F0"/>
    <w:rsid w:val="00382852"/>
    <w:rsid w:val="00382C67"/>
    <w:rsid w:val="00382D12"/>
    <w:rsid w:val="00382EEC"/>
    <w:rsid w:val="00384D4C"/>
    <w:rsid w:val="00386CB9"/>
    <w:rsid w:val="003876A2"/>
    <w:rsid w:val="00391DEE"/>
    <w:rsid w:val="00391E88"/>
    <w:rsid w:val="0039226C"/>
    <w:rsid w:val="003925A9"/>
    <w:rsid w:val="00392E8B"/>
    <w:rsid w:val="00397E5F"/>
    <w:rsid w:val="003A275A"/>
    <w:rsid w:val="003A6323"/>
    <w:rsid w:val="003A6908"/>
    <w:rsid w:val="003A770D"/>
    <w:rsid w:val="003A7856"/>
    <w:rsid w:val="003B13DC"/>
    <w:rsid w:val="003B2B1C"/>
    <w:rsid w:val="003C168F"/>
    <w:rsid w:val="003C473D"/>
    <w:rsid w:val="003D3472"/>
    <w:rsid w:val="003D4C0E"/>
    <w:rsid w:val="003D4C44"/>
    <w:rsid w:val="003D4F9D"/>
    <w:rsid w:val="003D62F0"/>
    <w:rsid w:val="003E0FD0"/>
    <w:rsid w:val="003E420E"/>
    <w:rsid w:val="003E4347"/>
    <w:rsid w:val="003E4896"/>
    <w:rsid w:val="003E62A9"/>
    <w:rsid w:val="003E70D0"/>
    <w:rsid w:val="003F3DA7"/>
    <w:rsid w:val="003F5B99"/>
    <w:rsid w:val="003F5F19"/>
    <w:rsid w:val="00400360"/>
    <w:rsid w:val="00400C43"/>
    <w:rsid w:val="00400C6E"/>
    <w:rsid w:val="004013C8"/>
    <w:rsid w:val="004030D9"/>
    <w:rsid w:val="00404B30"/>
    <w:rsid w:val="00410D08"/>
    <w:rsid w:val="00410FE6"/>
    <w:rsid w:val="0041143F"/>
    <w:rsid w:val="00411557"/>
    <w:rsid w:val="004119B0"/>
    <w:rsid w:val="0041272B"/>
    <w:rsid w:val="004128B5"/>
    <w:rsid w:val="00413D52"/>
    <w:rsid w:val="00415003"/>
    <w:rsid w:val="00416C8D"/>
    <w:rsid w:val="00420A78"/>
    <w:rsid w:val="00421CCC"/>
    <w:rsid w:val="00423BF8"/>
    <w:rsid w:val="00423F41"/>
    <w:rsid w:val="004247C3"/>
    <w:rsid w:val="00424F59"/>
    <w:rsid w:val="004265B1"/>
    <w:rsid w:val="00433B05"/>
    <w:rsid w:val="00434E2E"/>
    <w:rsid w:val="004356C5"/>
    <w:rsid w:val="00436FC9"/>
    <w:rsid w:val="00440552"/>
    <w:rsid w:val="004410A3"/>
    <w:rsid w:val="004414A0"/>
    <w:rsid w:val="004436C2"/>
    <w:rsid w:val="00445CDA"/>
    <w:rsid w:val="00451693"/>
    <w:rsid w:val="004520DE"/>
    <w:rsid w:val="0045214C"/>
    <w:rsid w:val="004609A6"/>
    <w:rsid w:val="00460F86"/>
    <w:rsid w:val="00464F22"/>
    <w:rsid w:val="0047063F"/>
    <w:rsid w:val="00470684"/>
    <w:rsid w:val="00470918"/>
    <w:rsid w:val="004768A4"/>
    <w:rsid w:val="00483281"/>
    <w:rsid w:val="00486AB8"/>
    <w:rsid w:val="00490AF9"/>
    <w:rsid w:val="00492012"/>
    <w:rsid w:val="00494D2B"/>
    <w:rsid w:val="00496F3E"/>
    <w:rsid w:val="00497B90"/>
    <w:rsid w:val="00497E2D"/>
    <w:rsid w:val="004A03B5"/>
    <w:rsid w:val="004A040B"/>
    <w:rsid w:val="004A0899"/>
    <w:rsid w:val="004A1719"/>
    <w:rsid w:val="004A2DCA"/>
    <w:rsid w:val="004A5078"/>
    <w:rsid w:val="004A538E"/>
    <w:rsid w:val="004A5A36"/>
    <w:rsid w:val="004A7AF7"/>
    <w:rsid w:val="004B415C"/>
    <w:rsid w:val="004B5153"/>
    <w:rsid w:val="004B5483"/>
    <w:rsid w:val="004B55E8"/>
    <w:rsid w:val="004B5E1C"/>
    <w:rsid w:val="004B7632"/>
    <w:rsid w:val="004C1B66"/>
    <w:rsid w:val="004C3ED6"/>
    <w:rsid w:val="004C4A83"/>
    <w:rsid w:val="004C5D02"/>
    <w:rsid w:val="004C6CF9"/>
    <w:rsid w:val="004C759B"/>
    <w:rsid w:val="004C76AC"/>
    <w:rsid w:val="004D0C5E"/>
    <w:rsid w:val="004D272F"/>
    <w:rsid w:val="004D2D1D"/>
    <w:rsid w:val="004D31B2"/>
    <w:rsid w:val="004D4F68"/>
    <w:rsid w:val="004D58F2"/>
    <w:rsid w:val="004D60BD"/>
    <w:rsid w:val="004D6AE9"/>
    <w:rsid w:val="004E0C06"/>
    <w:rsid w:val="004E12AD"/>
    <w:rsid w:val="004E3897"/>
    <w:rsid w:val="004F42BF"/>
    <w:rsid w:val="004F4E75"/>
    <w:rsid w:val="005002C9"/>
    <w:rsid w:val="0050249A"/>
    <w:rsid w:val="00504B6F"/>
    <w:rsid w:val="005054B8"/>
    <w:rsid w:val="00505B66"/>
    <w:rsid w:val="00506282"/>
    <w:rsid w:val="0050668D"/>
    <w:rsid w:val="00507192"/>
    <w:rsid w:val="005074E7"/>
    <w:rsid w:val="00514794"/>
    <w:rsid w:val="00517B7B"/>
    <w:rsid w:val="00520AC1"/>
    <w:rsid w:val="00522D9A"/>
    <w:rsid w:val="00525164"/>
    <w:rsid w:val="005261CA"/>
    <w:rsid w:val="005266CC"/>
    <w:rsid w:val="00526836"/>
    <w:rsid w:val="00532F9F"/>
    <w:rsid w:val="00536238"/>
    <w:rsid w:val="00537A36"/>
    <w:rsid w:val="005415D3"/>
    <w:rsid w:val="005440FB"/>
    <w:rsid w:val="00546504"/>
    <w:rsid w:val="00553E3B"/>
    <w:rsid w:val="005546C2"/>
    <w:rsid w:val="00561D43"/>
    <w:rsid w:val="00563019"/>
    <w:rsid w:val="005643C1"/>
    <w:rsid w:val="005660A6"/>
    <w:rsid w:val="00566121"/>
    <w:rsid w:val="005666F2"/>
    <w:rsid w:val="00567774"/>
    <w:rsid w:val="00567BCC"/>
    <w:rsid w:val="00571C4C"/>
    <w:rsid w:val="0057754A"/>
    <w:rsid w:val="0057798C"/>
    <w:rsid w:val="00580B5E"/>
    <w:rsid w:val="00581DA0"/>
    <w:rsid w:val="00581E45"/>
    <w:rsid w:val="005835E6"/>
    <w:rsid w:val="00583C14"/>
    <w:rsid w:val="00585F9C"/>
    <w:rsid w:val="00586167"/>
    <w:rsid w:val="00594403"/>
    <w:rsid w:val="00594B48"/>
    <w:rsid w:val="00594F33"/>
    <w:rsid w:val="00596270"/>
    <w:rsid w:val="005979BD"/>
    <w:rsid w:val="005A1002"/>
    <w:rsid w:val="005A1DC7"/>
    <w:rsid w:val="005A2E76"/>
    <w:rsid w:val="005A646A"/>
    <w:rsid w:val="005B0D1F"/>
    <w:rsid w:val="005B1AD9"/>
    <w:rsid w:val="005B223C"/>
    <w:rsid w:val="005B6FE3"/>
    <w:rsid w:val="005B71DF"/>
    <w:rsid w:val="005C00FE"/>
    <w:rsid w:val="005C01D9"/>
    <w:rsid w:val="005C2D1A"/>
    <w:rsid w:val="005C544F"/>
    <w:rsid w:val="005C6E1F"/>
    <w:rsid w:val="005C7A0A"/>
    <w:rsid w:val="005C7C1B"/>
    <w:rsid w:val="005D2283"/>
    <w:rsid w:val="005D59E6"/>
    <w:rsid w:val="005E0991"/>
    <w:rsid w:val="005E1794"/>
    <w:rsid w:val="005E50D4"/>
    <w:rsid w:val="005E6274"/>
    <w:rsid w:val="005F17A5"/>
    <w:rsid w:val="005F1AA8"/>
    <w:rsid w:val="005F205B"/>
    <w:rsid w:val="005F37B0"/>
    <w:rsid w:val="005F5007"/>
    <w:rsid w:val="005F53B4"/>
    <w:rsid w:val="005F594A"/>
    <w:rsid w:val="00600499"/>
    <w:rsid w:val="006004C8"/>
    <w:rsid w:val="0060121D"/>
    <w:rsid w:val="00602972"/>
    <w:rsid w:val="00604E19"/>
    <w:rsid w:val="006072B2"/>
    <w:rsid w:val="006123AE"/>
    <w:rsid w:val="00614D26"/>
    <w:rsid w:val="00615BA9"/>
    <w:rsid w:val="006219C0"/>
    <w:rsid w:val="0062461E"/>
    <w:rsid w:val="00630182"/>
    <w:rsid w:val="006325B6"/>
    <w:rsid w:val="006326EE"/>
    <w:rsid w:val="006341DB"/>
    <w:rsid w:val="00635E12"/>
    <w:rsid w:val="00637D92"/>
    <w:rsid w:val="00643B30"/>
    <w:rsid w:val="00644D60"/>
    <w:rsid w:val="00647096"/>
    <w:rsid w:val="006520DA"/>
    <w:rsid w:val="00652C84"/>
    <w:rsid w:val="00653375"/>
    <w:rsid w:val="00654370"/>
    <w:rsid w:val="00656712"/>
    <w:rsid w:val="006571E4"/>
    <w:rsid w:val="0066203C"/>
    <w:rsid w:val="00662CC9"/>
    <w:rsid w:val="006641DC"/>
    <w:rsid w:val="00664C24"/>
    <w:rsid w:val="00665A33"/>
    <w:rsid w:val="00665DE6"/>
    <w:rsid w:val="00667277"/>
    <w:rsid w:val="0066727C"/>
    <w:rsid w:val="00676749"/>
    <w:rsid w:val="00682B29"/>
    <w:rsid w:val="00683E30"/>
    <w:rsid w:val="00684928"/>
    <w:rsid w:val="00684AE5"/>
    <w:rsid w:val="00685E5D"/>
    <w:rsid w:val="00691E60"/>
    <w:rsid w:val="00692810"/>
    <w:rsid w:val="00692D87"/>
    <w:rsid w:val="00695E3E"/>
    <w:rsid w:val="00696735"/>
    <w:rsid w:val="00696DFF"/>
    <w:rsid w:val="0069739E"/>
    <w:rsid w:val="00697D96"/>
    <w:rsid w:val="00697FA1"/>
    <w:rsid w:val="006A42ED"/>
    <w:rsid w:val="006A542A"/>
    <w:rsid w:val="006A54D2"/>
    <w:rsid w:val="006A7C86"/>
    <w:rsid w:val="006B1634"/>
    <w:rsid w:val="006B3998"/>
    <w:rsid w:val="006B416B"/>
    <w:rsid w:val="006B564D"/>
    <w:rsid w:val="006B7905"/>
    <w:rsid w:val="006C3470"/>
    <w:rsid w:val="006C458A"/>
    <w:rsid w:val="006C5404"/>
    <w:rsid w:val="006C582D"/>
    <w:rsid w:val="006C5918"/>
    <w:rsid w:val="006D1594"/>
    <w:rsid w:val="006D178A"/>
    <w:rsid w:val="006D23C9"/>
    <w:rsid w:val="006D2534"/>
    <w:rsid w:val="006D270C"/>
    <w:rsid w:val="006D3F83"/>
    <w:rsid w:val="006D42A1"/>
    <w:rsid w:val="006D454D"/>
    <w:rsid w:val="006D4B8F"/>
    <w:rsid w:val="006D531A"/>
    <w:rsid w:val="006D64EE"/>
    <w:rsid w:val="006E2BBE"/>
    <w:rsid w:val="006F00BE"/>
    <w:rsid w:val="006F0CC5"/>
    <w:rsid w:val="006F1718"/>
    <w:rsid w:val="006F1AD5"/>
    <w:rsid w:val="006F1F5F"/>
    <w:rsid w:val="006F420D"/>
    <w:rsid w:val="006F565F"/>
    <w:rsid w:val="006F6A5E"/>
    <w:rsid w:val="006F6E8A"/>
    <w:rsid w:val="006F7F39"/>
    <w:rsid w:val="00701F9F"/>
    <w:rsid w:val="00704F6F"/>
    <w:rsid w:val="007050DB"/>
    <w:rsid w:val="007056AC"/>
    <w:rsid w:val="00705C9C"/>
    <w:rsid w:val="007072E3"/>
    <w:rsid w:val="00707F98"/>
    <w:rsid w:val="0071339A"/>
    <w:rsid w:val="0071534C"/>
    <w:rsid w:val="00716CCF"/>
    <w:rsid w:val="007211AA"/>
    <w:rsid w:val="00721370"/>
    <w:rsid w:val="0072361C"/>
    <w:rsid w:val="00727C4B"/>
    <w:rsid w:val="00736194"/>
    <w:rsid w:val="007378F3"/>
    <w:rsid w:val="00741484"/>
    <w:rsid w:val="00743952"/>
    <w:rsid w:val="00744000"/>
    <w:rsid w:val="0075185C"/>
    <w:rsid w:val="00751BC1"/>
    <w:rsid w:val="007520D8"/>
    <w:rsid w:val="007555A0"/>
    <w:rsid w:val="007555A8"/>
    <w:rsid w:val="00756786"/>
    <w:rsid w:val="00756B7F"/>
    <w:rsid w:val="00757927"/>
    <w:rsid w:val="00761F8A"/>
    <w:rsid w:val="0076334C"/>
    <w:rsid w:val="00764946"/>
    <w:rsid w:val="007650DE"/>
    <w:rsid w:val="007657DC"/>
    <w:rsid w:val="00770851"/>
    <w:rsid w:val="007731C7"/>
    <w:rsid w:val="00773D95"/>
    <w:rsid w:val="00774462"/>
    <w:rsid w:val="00775C1B"/>
    <w:rsid w:val="00776F02"/>
    <w:rsid w:val="0077733F"/>
    <w:rsid w:val="00777C0F"/>
    <w:rsid w:val="0078053B"/>
    <w:rsid w:val="00780F93"/>
    <w:rsid w:val="0078334D"/>
    <w:rsid w:val="00783400"/>
    <w:rsid w:val="00783FDC"/>
    <w:rsid w:val="007855EA"/>
    <w:rsid w:val="00787EA6"/>
    <w:rsid w:val="00791BF3"/>
    <w:rsid w:val="007927E7"/>
    <w:rsid w:val="007931D4"/>
    <w:rsid w:val="00795FDE"/>
    <w:rsid w:val="00796AE4"/>
    <w:rsid w:val="007971C0"/>
    <w:rsid w:val="007973DC"/>
    <w:rsid w:val="007A08B2"/>
    <w:rsid w:val="007A5C2D"/>
    <w:rsid w:val="007B054E"/>
    <w:rsid w:val="007B1722"/>
    <w:rsid w:val="007B3DA7"/>
    <w:rsid w:val="007B3ECF"/>
    <w:rsid w:val="007B4246"/>
    <w:rsid w:val="007C0800"/>
    <w:rsid w:val="007C267F"/>
    <w:rsid w:val="007C5A3C"/>
    <w:rsid w:val="007C73B2"/>
    <w:rsid w:val="007C7F1B"/>
    <w:rsid w:val="007D23D8"/>
    <w:rsid w:val="007D55B2"/>
    <w:rsid w:val="007E1650"/>
    <w:rsid w:val="007E2DDF"/>
    <w:rsid w:val="007F2414"/>
    <w:rsid w:val="007F41DC"/>
    <w:rsid w:val="007F4B5E"/>
    <w:rsid w:val="007F4EEA"/>
    <w:rsid w:val="007F5AB2"/>
    <w:rsid w:val="007F6F00"/>
    <w:rsid w:val="007F709A"/>
    <w:rsid w:val="007F74AD"/>
    <w:rsid w:val="0080010C"/>
    <w:rsid w:val="008042D0"/>
    <w:rsid w:val="008046A0"/>
    <w:rsid w:val="008068E2"/>
    <w:rsid w:val="008070AE"/>
    <w:rsid w:val="00811862"/>
    <w:rsid w:val="008124CF"/>
    <w:rsid w:val="008138A3"/>
    <w:rsid w:val="00813B94"/>
    <w:rsid w:val="00816D74"/>
    <w:rsid w:val="00817E78"/>
    <w:rsid w:val="008201E2"/>
    <w:rsid w:val="008204BE"/>
    <w:rsid w:val="00821051"/>
    <w:rsid w:val="00823C03"/>
    <w:rsid w:val="00826BAC"/>
    <w:rsid w:val="00826F10"/>
    <w:rsid w:val="00830270"/>
    <w:rsid w:val="008310AA"/>
    <w:rsid w:val="008337A7"/>
    <w:rsid w:val="008342FD"/>
    <w:rsid w:val="00834523"/>
    <w:rsid w:val="00835676"/>
    <w:rsid w:val="008357FD"/>
    <w:rsid w:val="00837CCC"/>
    <w:rsid w:val="00840DE1"/>
    <w:rsid w:val="008411C1"/>
    <w:rsid w:val="008414A6"/>
    <w:rsid w:val="008431BB"/>
    <w:rsid w:val="008443A7"/>
    <w:rsid w:val="008466CC"/>
    <w:rsid w:val="00846FFC"/>
    <w:rsid w:val="00850074"/>
    <w:rsid w:val="00850AF8"/>
    <w:rsid w:val="0085112E"/>
    <w:rsid w:val="00852D13"/>
    <w:rsid w:val="0085410D"/>
    <w:rsid w:val="00855F74"/>
    <w:rsid w:val="00856EEF"/>
    <w:rsid w:val="0086095C"/>
    <w:rsid w:val="00861C8B"/>
    <w:rsid w:val="00866041"/>
    <w:rsid w:val="008665D0"/>
    <w:rsid w:val="00866B7F"/>
    <w:rsid w:val="00866C45"/>
    <w:rsid w:val="008679FB"/>
    <w:rsid w:val="008706DA"/>
    <w:rsid w:val="008711AE"/>
    <w:rsid w:val="00872689"/>
    <w:rsid w:val="00877220"/>
    <w:rsid w:val="0087742B"/>
    <w:rsid w:val="0088032F"/>
    <w:rsid w:val="008830B1"/>
    <w:rsid w:val="00883EE7"/>
    <w:rsid w:val="00884B83"/>
    <w:rsid w:val="008864DA"/>
    <w:rsid w:val="00893864"/>
    <w:rsid w:val="00893F5D"/>
    <w:rsid w:val="008943EE"/>
    <w:rsid w:val="0089502D"/>
    <w:rsid w:val="008952F9"/>
    <w:rsid w:val="00896C25"/>
    <w:rsid w:val="008A14BA"/>
    <w:rsid w:val="008A3B42"/>
    <w:rsid w:val="008A3C5F"/>
    <w:rsid w:val="008A5829"/>
    <w:rsid w:val="008B0959"/>
    <w:rsid w:val="008B22DB"/>
    <w:rsid w:val="008B4CB6"/>
    <w:rsid w:val="008B5215"/>
    <w:rsid w:val="008B5C30"/>
    <w:rsid w:val="008B6045"/>
    <w:rsid w:val="008B7530"/>
    <w:rsid w:val="008C34BE"/>
    <w:rsid w:val="008D0210"/>
    <w:rsid w:val="008D054B"/>
    <w:rsid w:val="008D527C"/>
    <w:rsid w:val="008D58CA"/>
    <w:rsid w:val="008D60C4"/>
    <w:rsid w:val="008E0197"/>
    <w:rsid w:val="008E2161"/>
    <w:rsid w:val="008E31C7"/>
    <w:rsid w:val="008E3E02"/>
    <w:rsid w:val="008E52CC"/>
    <w:rsid w:val="008E6578"/>
    <w:rsid w:val="008E66BB"/>
    <w:rsid w:val="008E7451"/>
    <w:rsid w:val="008F13B7"/>
    <w:rsid w:val="008F2684"/>
    <w:rsid w:val="008F36CE"/>
    <w:rsid w:val="008F611C"/>
    <w:rsid w:val="009016F1"/>
    <w:rsid w:val="00905676"/>
    <w:rsid w:val="00906014"/>
    <w:rsid w:val="00906F95"/>
    <w:rsid w:val="00907157"/>
    <w:rsid w:val="00907754"/>
    <w:rsid w:val="009077D4"/>
    <w:rsid w:val="00907C3A"/>
    <w:rsid w:val="0091030E"/>
    <w:rsid w:val="009103AA"/>
    <w:rsid w:val="0091278C"/>
    <w:rsid w:val="00914ABE"/>
    <w:rsid w:val="00916EBE"/>
    <w:rsid w:val="00916EC4"/>
    <w:rsid w:val="0091738E"/>
    <w:rsid w:val="00922C67"/>
    <w:rsid w:val="009236F3"/>
    <w:rsid w:val="00924C3A"/>
    <w:rsid w:val="00926673"/>
    <w:rsid w:val="00930742"/>
    <w:rsid w:val="00930BBC"/>
    <w:rsid w:val="00931730"/>
    <w:rsid w:val="00933C28"/>
    <w:rsid w:val="00935BB0"/>
    <w:rsid w:val="0094297E"/>
    <w:rsid w:val="00944DEE"/>
    <w:rsid w:val="00947E18"/>
    <w:rsid w:val="00950F22"/>
    <w:rsid w:val="00953228"/>
    <w:rsid w:val="009536FE"/>
    <w:rsid w:val="009539A8"/>
    <w:rsid w:val="0095417F"/>
    <w:rsid w:val="009542F4"/>
    <w:rsid w:val="00954676"/>
    <w:rsid w:val="009555C5"/>
    <w:rsid w:val="00956D53"/>
    <w:rsid w:val="00957D26"/>
    <w:rsid w:val="009602BB"/>
    <w:rsid w:val="00962031"/>
    <w:rsid w:val="00963593"/>
    <w:rsid w:val="00965359"/>
    <w:rsid w:val="00967351"/>
    <w:rsid w:val="0096771F"/>
    <w:rsid w:val="009704CA"/>
    <w:rsid w:val="00972D20"/>
    <w:rsid w:val="009744D5"/>
    <w:rsid w:val="00975D7A"/>
    <w:rsid w:val="00977660"/>
    <w:rsid w:val="00981A20"/>
    <w:rsid w:val="00982279"/>
    <w:rsid w:val="00984D66"/>
    <w:rsid w:val="00986DF5"/>
    <w:rsid w:val="009870D5"/>
    <w:rsid w:val="009929B3"/>
    <w:rsid w:val="00993144"/>
    <w:rsid w:val="009959F7"/>
    <w:rsid w:val="00995FCD"/>
    <w:rsid w:val="0099672F"/>
    <w:rsid w:val="00997481"/>
    <w:rsid w:val="00997ACD"/>
    <w:rsid w:val="009A0043"/>
    <w:rsid w:val="009B0457"/>
    <w:rsid w:val="009B0D62"/>
    <w:rsid w:val="009B1DEE"/>
    <w:rsid w:val="009B3E0F"/>
    <w:rsid w:val="009B4A41"/>
    <w:rsid w:val="009B5D6E"/>
    <w:rsid w:val="009B6E9E"/>
    <w:rsid w:val="009C4FBB"/>
    <w:rsid w:val="009C55F9"/>
    <w:rsid w:val="009D0DE1"/>
    <w:rsid w:val="009D1122"/>
    <w:rsid w:val="009D4782"/>
    <w:rsid w:val="009D487B"/>
    <w:rsid w:val="009D4A00"/>
    <w:rsid w:val="009D7B2D"/>
    <w:rsid w:val="009D7E07"/>
    <w:rsid w:val="009E1338"/>
    <w:rsid w:val="009E1A60"/>
    <w:rsid w:val="009E35E7"/>
    <w:rsid w:val="009E44C9"/>
    <w:rsid w:val="009E5A1A"/>
    <w:rsid w:val="009E7DBF"/>
    <w:rsid w:val="009F195B"/>
    <w:rsid w:val="009F32B8"/>
    <w:rsid w:val="009F3533"/>
    <w:rsid w:val="009F4D6A"/>
    <w:rsid w:val="009F5288"/>
    <w:rsid w:val="009F5EB4"/>
    <w:rsid w:val="009F7819"/>
    <w:rsid w:val="00A00F34"/>
    <w:rsid w:val="00A01E96"/>
    <w:rsid w:val="00A050CC"/>
    <w:rsid w:val="00A07367"/>
    <w:rsid w:val="00A10295"/>
    <w:rsid w:val="00A11555"/>
    <w:rsid w:val="00A125B2"/>
    <w:rsid w:val="00A12C85"/>
    <w:rsid w:val="00A14204"/>
    <w:rsid w:val="00A1441B"/>
    <w:rsid w:val="00A14AB4"/>
    <w:rsid w:val="00A1680D"/>
    <w:rsid w:val="00A17975"/>
    <w:rsid w:val="00A21C2C"/>
    <w:rsid w:val="00A21DCA"/>
    <w:rsid w:val="00A22BEF"/>
    <w:rsid w:val="00A2593C"/>
    <w:rsid w:val="00A3060E"/>
    <w:rsid w:val="00A31280"/>
    <w:rsid w:val="00A3142B"/>
    <w:rsid w:val="00A32137"/>
    <w:rsid w:val="00A37AB4"/>
    <w:rsid w:val="00A402A4"/>
    <w:rsid w:val="00A40F97"/>
    <w:rsid w:val="00A41DA3"/>
    <w:rsid w:val="00A42F45"/>
    <w:rsid w:val="00A43224"/>
    <w:rsid w:val="00A44459"/>
    <w:rsid w:val="00A47CF1"/>
    <w:rsid w:val="00A50E47"/>
    <w:rsid w:val="00A51152"/>
    <w:rsid w:val="00A520B5"/>
    <w:rsid w:val="00A5258D"/>
    <w:rsid w:val="00A52707"/>
    <w:rsid w:val="00A534A0"/>
    <w:rsid w:val="00A540B6"/>
    <w:rsid w:val="00A55976"/>
    <w:rsid w:val="00A56683"/>
    <w:rsid w:val="00A62BB8"/>
    <w:rsid w:val="00A63385"/>
    <w:rsid w:val="00A6500E"/>
    <w:rsid w:val="00A652CC"/>
    <w:rsid w:val="00A65997"/>
    <w:rsid w:val="00A70D5D"/>
    <w:rsid w:val="00A70E83"/>
    <w:rsid w:val="00A713EF"/>
    <w:rsid w:val="00A77BCC"/>
    <w:rsid w:val="00A849A9"/>
    <w:rsid w:val="00A857EC"/>
    <w:rsid w:val="00A86DCC"/>
    <w:rsid w:val="00A873B8"/>
    <w:rsid w:val="00A877F0"/>
    <w:rsid w:val="00A87BE2"/>
    <w:rsid w:val="00A908C7"/>
    <w:rsid w:val="00A92F29"/>
    <w:rsid w:val="00A92F61"/>
    <w:rsid w:val="00A931CA"/>
    <w:rsid w:val="00A96853"/>
    <w:rsid w:val="00AA0C87"/>
    <w:rsid w:val="00AA1D4A"/>
    <w:rsid w:val="00AA47A1"/>
    <w:rsid w:val="00AA57E4"/>
    <w:rsid w:val="00AA683E"/>
    <w:rsid w:val="00AB00E8"/>
    <w:rsid w:val="00AB06DD"/>
    <w:rsid w:val="00AB4113"/>
    <w:rsid w:val="00AB53FA"/>
    <w:rsid w:val="00AB59FF"/>
    <w:rsid w:val="00AB64A2"/>
    <w:rsid w:val="00AB7BDA"/>
    <w:rsid w:val="00AC1252"/>
    <w:rsid w:val="00AC2872"/>
    <w:rsid w:val="00AC7CA9"/>
    <w:rsid w:val="00AD11FD"/>
    <w:rsid w:val="00AD3735"/>
    <w:rsid w:val="00AD392D"/>
    <w:rsid w:val="00AD5F9B"/>
    <w:rsid w:val="00AD6078"/>
    <w:rsid w:val="00AE2BB6"/>
    <w:rsid w:val="00AE42A5"/>
    <w:rsid w:val="00AE7E97"/>
    <w:rsid w:val="00AE7F7B"/>
    <w:rsid w:val="00AF03AE"/>
    <w:rsid w:val="00AF1499"/>
    <w:rsid w:val="00AF6D2B"/>
    <w:rsid w:val="00AF7314"/>
    <w:rsid w:val="00AF7902"/>
    <w:rsid w:val="00B034CB"/>
    <w:rsid w:val="00B05EBE"/>
    <w:rsid w:val="00B06438"/>
    <w:rsid w:val="00B112F6"/>
    <w:rsid w:val="00B129A0"/>
    <w:rsid w:val="00B209EC"/>
    <w:rsid w:val="00B227D3"/>
    <w:rsid w:val="00B24FF6"/>
    <w:rsid w:val="00B250B9"/>
    <w:rsid w:val="00B251B3"/>
    <w:rsid w:val="00B37304"/>
    <w:rsid w:val="00B37580"/>
    <w:rsid w:val="00B408B2"/>
    <w:rsid w:val="00B508AC"/>
    <w:rsid w:val="00B512FE"/>
    <w:rsid w:val="00B5165E"/>
    <w:rsid w:val="00B53653"/>
    <w:rsid w:val="00B611C9"/>
    <w:rsid w:val="00B61D3D"/>
    <w:rsid w:val="00B62D36"/>
    <w:rsid w:val="00B63FAC"/>
    <w:rsid w:val="00B67B42"/>
    <w:rsid w:val="00B7120B"/>
    <w:rsid w:val="00B713EE"/>
    <w:rsid w:val="00B77ACE"/>
    <w:rsid w:val="00B81394"/>
    <w:rsid w:val="00B818F5"/>
    <w:rsid w:val="00B81DB9"/>
    <w:rsid w:val="00B8243C"/>
    <w:rsid w:val="00B83678"/>
    <w:rsid w:val="00B838F0"/>
    <w:rsid w:val="00B839FE"/>
    <w:rsid w:val="00B913D9"/>
    <w:rsid w:val="00B92956"/>
    <w:rsid w:val="00B93B1A"/>
    <w:rsid w:val="00B93BA2"/>
    <w:rsid w:val="00B94A61"/>
    <w:rsid w:val="00B961D0"/>
    <w:rsid w:val="00B97909"/>
    <w:rsid w:val="00BA2C66"/>
    <w:rsid w:val="00BA2F20"/>
    <w:rsid w:val="00BA37CE"/>
    <w:rsid w:val="00BA5904"/>
    <w:rsid w:val="00BA5EDA"/>
    <w:rsid w:val="00BA7A9E"/>
    <w:rsid w:val="00BB333A"/>
    <w:rsid w:val="00BB463A"/>
    <w:rsid w:val="00BC00B6"/>
    <w:rsid w:val="00BC2CA8"/>
    <w:rsid w:val="00BC4873"/>
    <w:rsid w:val="00BD0578"/>
    <w:rsid w:val="00BD0785"/>
    <w:rsid w:val="00BD3D08"/>
    <w:rsid w:val="00BD3DAC"/>
    <w:rsid w:val="00BD5319"/>
    <w:rsid w:val="00BD5954"/>
    <w:rsid w:val="00BD744C"/>
    <w:rsid w:val="00BD74AD"/>
    <w:rsid w:val="00BE004D"/>
    <w:rsid w:val="00BE06C5"/>
    <w:rsid w:val="00BE0EDE"/>
    <w:rsid w:val="00BE705C"/>
    <w:rsid w:val="00BE7EEE"/>
    <w:rsid w:val="00BF04F5"/>
    <w:rsid w:val="00BF0914"/>
    <w:rsid w:val="00BF1A00"/>
    <w:rsid w:val="00BF1D4C"/>
    <w:rsid w:val="00BF36E4"/>
    <w:rsid w:val="00BF521C"/>
    <w:rsid w:val="00BF6125"/>
    <w:rsid w:val="00C00DE3"/>
    <w:rsid w:val="00C034E7"/>
    <w:rsid w:val="00C0591B"/>
    <w:rsid w:val="00C06AEB"/>
    <w:rsid w:val="00C079C6"/>
    <w:rsid w:val="00C10BAC"/>
    <w:rsid w:val="00C11177"/>
    <w:rsid w:val="00C1133C"/>
    <w:rsid w:val="00C116AF"/>
    <w:rsid w:val="00C11E80"/>
    <w:rsid w:val="00C120B3"/>
    <w:rsid w:val="00C13009"/>
    <w:rsid w:val="00C1348E"/>
    <w:rsid w:val="00C13AFE"/>
    <w:rsid w:val="00C229F5"/>
    <w:rsid w:val="00C23845"/>
    <w:rsid w:val="00C242ED"/>
    <w:rsid w:val="00C24DFF"/>
    <w:rsid w:val="00C273C1"/>
    <w:rsid w:val="00C33084"/>
    <w:rsid w:val="00C378EA"/>
    <w:rsid w:val="00C37D45"/>
    <w:rsid w:val="00C43A36"/>
    <w:rsid w:val="00C452BF"/>
    <w:rsid w:val="00C50E8D"/>
    <w:rsid w:val="00C525CC"/>
    <w:rsid w:val="00C53C03"/>
    <w:rsid w:val="00C53E7B"/>
    <w:rsid w:val="00C54DDC"/>
    <w:rsid w:val="00C55317"/>
    <w:rsid w:val="00C55CDC"/>
    <w:rsid w:val="00C56A3A"/>
    <w:rsid w:val="00C62963"/>
    <w:rsid w:val="00C62C96"/>
    <w:rsid w:val="00C633C0"/>
    <w:rsid w:val="00C6596A"/>
    <w:rsid w:val="00C67311"/>
    <w:rsid w:val="00C67DF5"/>
    <w:rsid w:val="00C703ED"/>
    <w:rsid w:val="00C70A1D"/>
    <w:rsid w:val="00C70A56"/>
    <w:rsid w:val="00C71986"/>
    <w:rsid w:val="00C72ACC"/>
    <w:rsid w:val="00C8304E"/>
    <w:rsid w:val="00C836F3"/>
    <w:rsid w:val="00C83BD4"/>
    <w:rsid w:val="00C83E30"/>
    <w:rsid w:val="00C85CE5"/>
    <w:rsid w:val="00C90420"/>
    <w:rsid w:val="00C9067F"/>
    <w:rsid w:val="00C919FB"/>
    <w:rsid w:val="00C92329"/>
    <w:rsid w:val="00C926CF"/>
    <w:rsid w:val="00C958E2"/>
    <w:rsid w:val="00C97396"/>
    <w:rsid w:val="00C979D3"/>
    <w:rsid w:val="00C97ECA"/>
    <w:rsid w:val="00CA09EE"/>
    <w:rsid w:val="00CA1A82"/>
    <w:rsid w:val="00CA4C61"/>
    <w:rsid w:val="00CA591D"/>
    <w:rsid w:val="00CA5CBC"/>
    <w:rsid w:val="00CA5F31"/>
    <w:rsid w:val="00CA6FBB"/>
    <w:rsid w:val="00CB5B2E"/>
    <w:rsid w:val="00CB6766"/>
    <w:rsid w:val="00CC05FD"/>
    <w:rsid w:val="00CC3D52"/>
    <w:rsid w:val="00CC4F1C"/>
    <w:rsid w:val="00CD299A"/>
    <w:rsid w:val="00CD3385"/>
    <w:rsid w:val="00CD509F"/>
    <w:rsid w:val="00CD5A9A"/>
    <w:rsid w:val="00CD6755"/>
    <w:rsid w:val="00CE56BF"/>
    <w:rsid w:val="00CF109A"/>
    <w:rsid w:val="00CF1F34"/>
    <w:rsid w:val="00CF2897"/>
    <w:rsid w:val="00CF4F83"/>
    <w:rsid w:val="00D022A0"/>
    <w:rsid w:val="00D05AC0"/>
    <w:rsid w:val="00D07B63"/>
    <w:rsid w:val="00D10DD3"/>
    <w:rsid w:val="00D15EB8"/>
    <w:rsid w:val="00D17F16"/>
    <w:rsid w:val="00D22941"/>
    <w:rsid w:val="00D24822"/>
    <w:rsid w:val="00D26E2A"/>
    <w:rsid w:val="00D3034C"/>
    <w:rsid w:val="00D31810"/>
    <w:rsid w:val="00D31BE6"/>
    <w:rsid w:val="00D33381"/>
    <w:rsid w:val="00D33E27"/>
    <w:rsid w:val="00D35B2E"/>
    <w:rsid w:val="00D35BAC"/>
    <w:rsid w:val="00D36089"/>
    <w:rsid w:val="00D37374"/>
    <w:rsid w:val="00D3759C"/>
    <w:rsid w:val="00D41359"/>
    <w:rsid w:val="00D43B4F"/>
    <w:rsid w:val="00D44EF1"/>
    <w:rsid w:val="00D4573F"/>
    <w:rsid w:val="00D47BDF"/>
    <w:rsid w:val="00D5099C"/>
    <w:rsid w:val="00D50E4E"/>
    <w:rsid w:val="00D51053"/>
    <w:rsid w:val="00D5111B"/>
    <w:rsid w:val="00D52A97"/>
    <w:rsid w:val="00D542AA"/>
    <w:rsid w:val="00D63C92"/>
    <w:rsid w:val="00D64DE8"/>
    <w:rsid w:val="00D665DB"/>
    <w:rsid w:val="00D70A42"/>
    <w:rsid w:val="00D723B5"/>
    <w:rsid w:val="00D76DDD"/>
    <w:rsid w:val="00D77D06"/>
    <w:rsid w:val="00D854E3"/>
    <w:rsid w:val="00D8708C"/>
    <w:rsid w:val="00D874A3"/>
    <w:rsid w:val="00D914EB"/>
    <w:rsid w:val="00D91E76"/>
    <w:rsid w:val="00D93F2E"/>
    <w:rsid w:val="00D95837"/>
    <w:rsid w:val="00D96ACA"/>
    <w:rsid w:val="00DA159D"/>
    <w:rsid w:val="00DA15B3"/>
    <w:rsid w:val="00DA19C7"/>
    <w:rsid w:val="00DA2FCA"/>
    <w:rsid w:val="00DA39F4"/>
    <w:rsid w:val="00DA4A25"/>
    <w:rsid w:val="00DA5D30"/>
    <w:rsid w:val="00DB4468"/>
    <w:rsid w:val="00DB6ABF"/>
    <w:rsid w:val="00DB6D20"/>
    <w:rsid w:val="00DB7B30"/>
    <w:rsid w:val="00DB7C4A"/>
    <w:rsid w:val="00DC07B9"/>
    <w:rsid w:val="00DC1257"/>
    <w:rsid w:val="00DC24FE"/>
    <w:rsid w:val="00DC4FF9"/>
    <w:rsid w:val="00DC6A61"/>
    <w:rsid w:val="00DC7EBE"/>
    <w:rsid w:val="00DD22BE"/>
    <w:rsid w:val="00DD3093"/>
    <w:rsid w:val="00DD5730"/>
    <w:rsid w:val="00DD6241"/>
    <w:rsid w:val="00DD71A4"/>
    <w:rsid w:val="00DE61FF"/>
    <w:rsid w:val="00DE7A22"/>
    <w:rsid w:val="00DE7AEF"/>
    <w:rsid w:val="00DE7BCB"/>
    <w:rsid w:val="00DF029C"/>
    <w:rsid w:val="00DF08FB"/>
    <w:rsid w:val="00DF2572"/>
    <w:rsid w:val="00DF3899"/>
    <w:rsid w:val="00DF4DBB"/>
    <w:rsid w:val="00DF5B02"/>
    <w:rsid w:val="00DF6C9F"/>
    <w:rsid w:val="00E027A9"/>
    <w:rsid w:val="00E02D77"/>
    <w:rsid w:val="00E04001"/>
    <w:rsid w:val="00E05A8F"/>
    <w:rsid w:val="00E05C37"/>
    <w:rsid w:val="00E05C5B"/>
    <w:rsid w:val="00E06D50"/>
    <w:rsid w:val="00E06E9E"/>
    <w:rsid w:val="00E10649"/>
    <w:rsid w:val="00E13C15"/>
    <w:rsid w:val="00E15677"/>
    <w:rsid w:val="00E241AD"/>
    <w:rsid w:val="00E26BF9"/>
    <w:rsid w:val="00E26D75"/>
    <w:rsid w:val="00E27FA4"/>
    <w:rsid w:val="00E27FCB"/>
    <w:rsid w:val="00E3098F"/>
    <w:rsid w:val="00E36309"/>
    <w:rsid w:val="00E408B5"/>
    <w:rsid w:val="00E42C61"/>
    <w:rsid w:val="00E441DC"/>
    <w:rsid w:val="00E44B6F"/>
    <w:rsid w:val="00E46A41"/>
    <w:rsid w:val="00E51AB5"/>
    <w:rsid w:val="00E52DAD"/>
    <w:rsid w:val="00E534EB"/>
    <w:rsid w:val="00E54E17"/>
    <w:rsid w:val="00E555CE"/>
    <w:rsid w:val="00E56CA8"/>
    <w:rsid w:val="00E56F34"/>
    <w:rsid w:val="00E61551"/>
    <w:rsid w:val="00E62D24"/>
    <w:rsid w:val="00E63169"/>
    <w:rsid w:val="00E632DF"/>
    <w:rsid w:val="00E671D0"/>
    <w:rsid w:val="00E67C1A"/>
    <w:rsid w:val="00E71027"/>
    <w:rsid w:val="00E7506D"/>
    <w:rsid w:val="00E76F65"/>
    <w:rsid w:val="00E77555"/>
    <w:rsid w:val="00E77DF7"/>
    <w:rsid w:val="00E77E02"/>
    <w:rsid w:val="00E77E58"/>
    <w:rsid w:val="00E8207A"/>
    <w:rsid w:val="00E86F58"/>
    <w:rsid w:val="00E87F6A"/>
    <w:rsid w:val="00E90946"/>
    <w:rsid w:val="00E90F2E"/>
    <w:rsid w:val="00E90F84"/>
    <w:rsid w:val="00E91226"/>
    <w:rsid w:val="00E91271"/>
    <w:rsid w:val="00E92574"/>
    <w:rsid w:val="00E92663"/>
    <w:rsid w:val="00E938DE"/>
    <w:rsid w:val="00EA7428"/>
    <w:rsid w:val="00EB0E9B"/>
    <w:rsid w:val="00EB5A33"/>
    <w:rsid w:val="00EB6344"/>
    <w:rsid w:val="00EB6BC5"/>
    <w:rsid w:val="00EB76BE"/>
    <w:rsid w:val="00EC14C7"/>
    <w:rsid w:val="00EC25C0"/>
    <w:rsid w:val="00EC278F"/>
    <w:rsid w:val="00EC43A7"/>
    <w:rsid w:val="00EC52DF"/>
    <w:rsid w:val="00EC6939"/>
    <w:rsid w:val="00ED0461"/>
    <w:rsid w:val="00ED07C6"/>
    <w:rsid w:val="00ED147C"/>
    <w:rsid w:val="00ED22D5"/>
    <w:rsid w:val="00ED2357"/>
    <w:rsid w:val="00ED45E5"/>
    <w:rsid w:val="00ED45F7"/>
    <w:rsid w:val="00ED510D"/>
    <w:rsid w:val="00ED5876"/>
    <w:rsid w:val="00ED58F7"/>
    <w:rsid w:val="00ED6E18"/>
    <w:rsid w:val="00ED76B8"/>
    <w:rsid w:val="00EE0A1C"/>
    <w:rsid w:val="00EE1009"/>
    <w:rsid w:val="00EE18A0"/>
    <w:rsid w:val="00EE6855"/>
    <w:rsid w:val="00EE7DA6"/>
    <w:rsid w:val="00EF114C"/>
    <w:rsid w:val="00EF1516"/>
    <w:rsid w:val="00EF254F"/>
    <w:rsid w:val="00EF3BA8"/>
    <w:rsid w:val="00EF3BB4"/>
    <w:rsid w:val="00EF5DAE"/>
    <w:rsid w:val="00EF63D1"/>
    <w:rsid w:val="00EF750A"/>
    <w:rsid w:val="00F02ABE"/>
    <w:rsid w:val="00F03213"/>
    <w:rsid w:val="00F032DC"/>
    <w:rsid w:val="00F03C67"/>
    <w:rsid w:val="00F055F2"/>
    <w:rsid w:val="00F0568E"/>
    <w:rsid w:val="00F0762D"/>
    <w:rsid w:val="00F1074E"/>
    <w:rsid w:val="00F13551"/>
    <w:rsid w:val="00F15E50"/>
    <w:rsid w:val="00F16B55"/>
    <w:rsid w:val="00F17035"/>
    <w:rsid w:val="00F179ED"/>
    <w:rsid w:val="00F21E44"/>
    <w:rsid w:val="00F22C36"/>
    <w:rsid w:val="00F234B1"/>
    <w:rsid w:val="00F265CC"/>
    <w:rsid w:val="00F26E75"/>
    <w:rsid w:val="00F301AF"/>
    <w:rsid w:val="00F317B8"/>
    <w:rsid w:val="00F32BCB"/>
    <w:rsid w:val="00F335B1"/>
    <w:rsid w:val="00F33D45"/>
    <w:rsid w:val="00F34E49"/>
    <w:rsid w:val="00F368EC"/>
    <w:rsid w:val="00F36AF8"/>
    <w:rsid w:val="00F37CCA"/>
    <w:rsid w:val="00F40BA3"/>
    <w:rsid w:val="00F4127A"/>
    <w:rsid w:val="00F4363E"/>
    <w:rsid w:val="00F4551B"/>
    <w:rsid w:val="00F455AA"/>
    <w:rsid w:val="00F4577C"/>
    <w:rsid w:val="00F47AF9"/>
    <w:rsid w:val="00F50063"/>
    <w:rsid w:val="00F50AAB"/>
    <w:rsid w:val="00F52137"/>
    <w:rsid w:val="00F52584"/>
    <w:rsid w:val="00F534FD"/>
    <w:rsid w:val="00F555DF"/>
    <w:rsid w:val="00F55E83"/>
    <w:rsid w:val="00F56A00"/>
    <w:rsid w:val="00F57A4B"/>
    <w:rsid w:val="00F57EC5"/>
    <w:rsid w:val="00F6141B"/>
    <w:rsid w:val="00F64DC9"/>
    <w:rsid w:val="00F65C01"/>
    <w:rsid w:val="00F66B4B"/>
    <w:rsid w:val="00F67469"/>
    <w:rsid w:val="00F6749E"/>
    <w:rsid w:val="00F70F0C"/>
    <w:rsid w:val="00F72BA8"/>
    <w:rsid w:val="00F7311D"/>
    <w:rsid w:val="00F75402"/>
    <w:rsid w:val="00F75BED"/>
    <w:rsid w:val="00F75FFF"/>
    <w:rsid w:val="00F80836"/>
    <w:rsid w:val="00F829C9"/>
    <w:rsid w:val="00F858E1"/>
    <w:rsid w:val="00F8619F"/>
    <w:rsid w:val="00F91AEF"/>
    <w:rsid w:val="00FA0C05"/>
    <w:rsid w:val="00FA1607"/>
    <w:rsid w:val="00FA331B"/>
    <w:rsid w:val="00FA5CC0"/>
    <w:rsid w:val="00FA7433"/>
    <w:rsid w:val="00FB2DAB"/>
    <w:rsid w:val="00FB54A1"/>
    <w:rsid w:val="00FC0129"/>
    <w:rsid w:val="00FC015A"/>
    <w:rsid w:val="00FC03AB"/>
    <w:rsid w:val="00FC092B"/>
    <w:rsid w:val="00FC0D5A"/>
    <w:rsid w:val="00FC0ED7"/>
    <w:rsid w:val="00FC455D"/>
    <w:rsid w:val="00FC4686"/>
    <w:rsid w:val="00FC5D48"/>
    <w:rsid w:val="00FC686A"/>
    <w:rsid w:val="00FD1593"/>
    <w:rsid w:val="00FD35AA"/>
    <w:rsid w:val="00FD45A3"/>
    <w:rsid w:val="00FD73B1"/>
    <w:rsid w:val="00FE2D4B"/>
    <w:rsid w:val="00FE372B"/>
    <w:rsid w:val="00FE3C43"/>
    <w:rsid w:val="00FE3F2C"/>
    <w:rsid w:val="00FE68F1"/>
    <w:rsid w:val="00FE76A4"/>
    <w:rsid w:val="00FF054E"/>
    <w:rsid w:val="00FF08C0"/>
    <w:rsid w:val="00FF16E9"/>
    <w:rsid w:val="00FF374C"/>
    <w:rsid w:val="00FF7348"/>
    <w:rsid w:val="1EE20D32"/>
    <w:rsid w:val="21CC2C48"/>
    <w:rsid w:val="5B276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napToGrid w:val="0"/>
      <w:spacing w:line="590" w:lineRule="atLeast"/>
      <w:ind w:firstLine="624"/>
      <w:jc w:val="both"/>
    </w:pPr>
    <w:rPr>
      <w:rFonts w:ascii="方正仿宋_GBK"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rPr>
  </w:style>
  <w:style w:type="paragraph" w:styleId="4">
    <w:name w:val="heading 3"/>
    <w:basedOn w:val="1"/>
    <w:next w:val="1"/>
    <w:qFormat/>
    <w:uiPriority w:val="0"/>
    <w:pPr>
      <w:keepNext/>
      <w:keepLines/>
      <w:spacing w:before="260" w:after="260" w:line="415" w:lineRule="auto"/>
      <w:outlineLvl w:val="2"/>
    </w:pPr>
    <w:rPr>
      <w:b/>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b/>
      <w:sz w:val="20"/>
    </w:rPr>
  </w:style>
  <w:style w:type="paragraph" w:styleId="6">
    <w:name w:val="envelope address"/>
    <w:basedOn w:val="1"/>
    <w:qFormat/>
    <w:uiPriority w:val="0"/>
    <w:pPr>
      <w:ind w:left="2880"/>
    </w:pPr>
    <w:rPr>
      <w:rFonts w:ascii="Arial" w:hAnsi="Arial"/>
      <w:sz w:val="24"/>
    </w:rPr>
  </w:style>
  <w:style w:type="paragraph" w:styleId="7">
    <w:name w:val="annotation text"/>
    <w:basedOn w:val="1"/>
    <w:qFormat/>
    <w:uiPriority w:val="0"/>
    <w:pPr>
      <w:jc w:val="left"/>
    </w:pPr>
  </w:style>
  <w:style w:type="paragraph" w:styleId="8">
    <w:name w:val="Body Text"/>
    <w:basedOn w:val="1"/>
    <w:link w:val="29"/>
    <w:semiHidden/>
    <w:unhideWhenUsed/>
    <w:uiPriority w:val="99"/>
    <w:pPr>
      <w:autoSpaceDE/>
      <w:autoSpaceDN/>
      <w:snapToGrid/>
      <w:spacing w:after="120" w:line="240" w:lineRule="auto"/>
      <w:ind w:firstLine="0"/>
    </w:pPr>
    <w:rPr>
      <w:rFonts w:ascii="Times New Roman" w:eastAsia="宋体"/>
      <w:snapToGrid/>
      <w:kern w:val="2"/>
      <w:sz w:val="21"/>
    </w:rPr>
  </w:style>
  <w:style w:type="paragraph" w:styleId="9">
    <w:name w:val="toc 5"/>
    <w:basedOn w:val="1"/>
    <w:next w:val="1"/>
    <w:qFormat/>
    <w:uiPriority w:val="0"/>
    <w:pPr>
      <w:ind w:left="1680"/>
    </w:pPr>
  </w:style>
  <w:style w:type="paragraph" w:styleId="10">
    <w:name w:val="footer"/>
    <w:link w:val="28"/>
    <w:qFormat/>
    <w:uiPriority w:val="0"/>
    <w:pPr>
      <w:widowControl w:val="0"/>
      <w:tabs>
        <w:tab w:val="center" w:pos="4153"/>
        <w:tab w:val="right" w:pos="8306"/>
      </w:tabs>
      <w:autoSpaceDE w:val="0"/>
      <w:autoSpaceDN w:val="0"/>
      <w:snapToGrid w:val="0"/>
      <w:spacing w:line="400" w:lineRule="atLeast"/>
      <w:jc w:val="center"/>
    </w:pPr>
    <w:rPr>
      <w:rFonts w:ascii="方正仿宋_GBK" w:hAnsi="Times New Roman" w:eastAsia="方正仿宋_GBK" w:cs="Times New Roman"/>
      <w:snapToGrid w:val="0"/>
      <w:sz w:val="28"/>
      <w:lang w:val="en-US" w:eastAsia="zh-CN" w:bidi="ar-SA"/>
    </w:rPr>
  </w:style>
  <w:style w:type="paragraph" w:styleId="11">
    <w:name w:val="header"/>
    <w:basedOn w:val="1"/>
    <w:qFormat/>
    <w:uiPriority w:val="0"/>
    <w:pPr>
      <w:pBdr>
        <w:bottom w:val="single" w:color="auto" w:sz="6" w:space="1"/>
      </w:pBdr>
      <w:tabs>
        <w:tab w:val="center" w:pos="4153"/>
        <w:tab w:val="right" w:pos="8307"/>
      </w:tabs>
      <w:jc w:val="center"/>
    </w:pPr>
    <w:rPr>
      <w:sz w:val="18"/>
    </w:rPr>
  </w:style>
  <w:style w:type="paragraph" w:styleId="12">
    <w:name w:val="footnote text"/>
    <w:basedOn w:val="1"/>
    <w:qFormat/>
    <w:uiPriority w:val="0"/>
    <w:pPr>
      <w:jc w:val="left"/>
    </w:pPr>
    <w:rPr>
      <w:sz w:val="18"/>
    </w:rPr>
  </w:style>
  <w:style w:type="paragraph" w:styleId="13">
    <w:name w:val="HTML Preformatted"/>
    <w:qFormat/>
    <w:uiPriority w:val="0"/>
    <w:pPr>
      <w:widowControl w:val="0"/>
      <w:spacing w:before="100" w:beforeAutospacing="1" w:after="100" w:afterAutospacing="1"/>
    </w:pPr>
    <w:rPr>
      <w:rFonts w:ascii="Courier New" w:hAnsi="Courier New" w:eastAsia="宋体" w:cs="Times New Roman"/>
      <w:kern w:val="2"/>
      <w:szCs w:val="21"/>
      <w:lang w:val="en-US" w:eastAsia="zh-CN" w:bidi="ar-SA"/>
    </w:rPr>
  </w:style>
  <w:style w:type="paragraph" w:styleId="14">
    <w:name w:val="Title"/>
    <w:qFormat/>
    <w:uiPriority w:val="0"/>
    <w:pPr>
      <w:widowControl w:val="0"/>
      <w:adjustRightInd w:val="0"/>
      <w:spacing w:line="567" w:lineRule="atLeast"/>
      <w:jc w:val="center"/>
    </w:pPr>
    <w:rPr>
      <w:rFonts w:ascii="黑体" w:hAnsi="Times New Roman" w:eastAsia="黑体" w:cs="Times New Roman"/>
      <w:sz w:val="36"/>
      <w:lang w:val="en-US" w:eastAsia="zh-CN" w:bidi="ar-SA"/>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qFormat/>
    <w:uiPriority w:val="0"/>
  </w:style>
  <w:style w:type="character" w:styleId="19">
    <w:name w:val="Hyperlink"/>
    <w:basedOn w:val="17"/>
    <w:qFormat/>
    <w:uiPriority w:val="0"/>
    <w:rPr>
      <w:color w:val="0000FF"/>
      <w:u w:val="single"/>
    </w:rPr>
  </w:style>
  <w:style w:type="paragraph" w:customStyle="1" w:styleId="20">
    <w:name w:val="文头"/>
    <w:next w:val="5"/>
    <w:qFormat/>
    <w:uiPriority w:val="0"/>
    <w:pPr>
      <w:widowControl w:val="0"/>
      <w:overflowPunct w:val="0"/>
      <w:autoSpaceDE w:val="0"/>
      <w:autoSpaceDN w:val="0"/>
      <w:snapToGrid w:val="0"/>
      <w:spacing w:before="100" w:line="800" w:lineRule="exact"/>
      <w:ind w:right="357"/>
      <w:jc w:val="distribute"/>
    </w:pPr>
    <w:rPr>
      <w:rFonts w:ascii="方正小标宋_GBK" w:hAnsi="Times New Roman" w:eastAsia="方正小标宋_GBK" w:cs="Times New Roman"/>
      <w:b/>
      <w:snapToGrid w:val="0"/>
      <w:color w:val="FF0000"/>
      <w:w w:val="90"/>
      <w:sz w:val="76"/>
      <w:lang w:val="en-US" w:eastAsia="zh-CN" w:bidi="ar-SA"/>
    </w:rPr>
  </w:style>
  <w:style w:type="paragraph" w:customStyle="1" w:styleId="21">
    <w:name w:val="红线"/>
    <w:next w:val="9"/>
    <w:qFormat/>
    <w:uiPriority w:val="0"/>
    <w:pPr>
      <w:widowControl w:val="0"/>
      <w:autoSpaceDE w:val="0"/>
      <w:autoSpaceDN w:val="0"/>
      <w:adjustRightInd w:val="0"/>
      <w:spacing w:after="851" w:line="227" w:lineRule="atLeast"/>
      <w:ind w:right="-142"/>
      <w:jc w:val="center"/>
    </w:pPr>
    <w:rPr>
      <w:rFonts w:ascii="宋体" w:hAnsi="Times New Roman" w:eastAsia="宋体" w:cs="Times New Roman"/>
      <w:b/>
      <w:snapToGrid w:val="0"/>
      <w:sz w:val="10"/>
      <w:lang w:val="en-US" w:eastAsia="zh-CN" w:bidi="ar-SA"/>
    </w:rPr>
  </w:style>
  <w:style w:type="paragraph" w:customStyle="1" w:styleId="22">
    <w:name w:val="主送单位"/>
    <w:next w:val="1"/>
    <w:qFormat/>
    <w:uiPriority w:val="0"/>
    <w:pPr>
      <w:widowControl w:val="0"/>
      <w:adjustRightInd w:val="0"/>
      <w:spacing w:line="567" w:lineRule="atLeast"/>
    </w:pPr>
    <w:rPr>
      <w:rFonts w:ascii="Times New Roman" w:hAnsi="Times New Roman" w:eastAsia="仿宋_GB2312" w:cs="Times New Roman"/>
      <w:sz w:val="32"/>
      <w:lang w:val="en-US" w:eastAsia="zh-CN" w:bidi="ar-SA"/>
    </w:rPr>
  </w:style>
  <w:style w:type="paragraph" w:customStyle="1" w:styleId="23">
    <w:name w:val="线型"/>
    <w:next w:val="12"/>
    <w:qFormat/>
    <w:uiPriority w:val="0"/>
    <w:pPr>
      <w:widowControl w:val="0"/>
      <w:autoSpaceDE w:val="0"/>
      <w:autoSpaceDN w:val="0"/>
      <w:adjustRightInd w:val="0"/>
      <w:ind w:right="357"/>
      <w:jc w:val="center"/>
    </w:pPr>
    <w:rPr>
      <w:rFonts w:ascii="方正仿宋_GBK" w:hAnsi="Times New Roman" w:eastAsia="方正仿宋_GBK" w:cs="Times New Roman"/>
      <w:snapToGrid w:val="0"/>
      <w:sz w:val="21"/>
      <w:lang w:val="en-US" w:eastAsia="zh-CN" w:bidi="ar-SA"/>
    </w:rPr>
  </w:style>
  <w:style w:type="paragraph" w:customStyle="1" w:styleId="24">
    <w:name w:val="印发栏"/>
    <w:next w:val="7"/>
    <w:qFormat/>
    <w:uiPriority w:val="0"/>
    <w:pPr>
      <w:widowControl w:val="0"/>
      <w:tabs>
        <w:tab w:val="right" w:pos="8465"/>
      </w:tabs>
      <w:autoSpaceDE w:val="0"/>
      <w:autoSpaceDN w:val="0"/>
      <w:adjustRightInd w:val="0"/>
      <w:spacing w:line="500" w:lineRule="atLeast"/>
      <w:ind w:left="357" w:right="357"/>
    </w:pPr>
    <w:rPr>
      <w:rFonts w:ascii="方正仿宋_GBK" w:hAnsi="Times New Roman" w:eastAsia="方正仿宋_GBK" w:cs="Times New Roman"/>
      <w:snapToGrid w:val="0"/>
      <w:sz w:val="32"/>
      <w:lang w:val="en-US" w:eastAsia="zh-CN" w:bidi="ar-SA"/>
    </w:rPr>
  </w:style>
  <w:style w:type="paragraph" w:customStyle="1" w:styleId="25">
    <w:name w:val="p0"/>
    <w:qFormat/>
    <w:uiPriority w:val="0"/>
    <w:pPr>
      <w:autoSpaceDE w:val="0"/>
      <w:autoSpaceDN w:val="0"/>
      <w:snapToGrid w:val="0"/>
      <w:spacing w:line="590" w:lineRule="atLeast"/>
      <w:ind w:firstLine="624"/>
      <w:jc w:val="both"/>
    </w:pPr>
    <w:rPr>
      <w:rFonts w:ascii="Times New Roman" w:hAnsi="Times New Roman" w:eastAsia="宋体" w:cs="Times New Roman"/>
      <w:snapToGrid w:val="0"/>
      <w:sz w:val="32"/>
      <w:szCs w:val="21"/>
      <w:lang w:val="en-US" w:eastAsia="zh-CN" w:bidi="ar-SA"/>
    </w:rPr>
  </w:style>
  <w:style w:type="paragraph" w:customStyle="1" w:styleId="26">
    <w:name w:val="标题1"/>
    <w:basedOn w:val="1"/>
    <w:next w:val="1"/>
    <w:qFormat/>
    <w:uiPriority w:val="0"/>
    <w:pPr>
      <w:tabs>
        <w:tab w:val="left" w:pos="9193"/>
        <w:tab w:val="left" w:pos="9827"/>
      </w:tabs>
      <w:autoSpaceDN/>
      <w:spacing w:line="700" w:lineRule="atLeast"/>
      <w:ind w:firstLine="0"/>
      <w:jc w:val="center"/>
    </w:pPr>
    <w:rPr>
      <w:rFonts w:ascii="Times New Roman" w:eastAsia="方正小标宋_GBK"/>
      <w:snapToGrid/>
      <w:sz w:val="44"/>
    </w:rPr>
  </w:style>
  <w:style w:type="paragraph" w:styleId="27">
    <w:name w:val="List Paragraph"/>
    <w:basedOn w:val="1"/>
    <w:qFormat/>
    <w:uiPriority w:val="34"/>
    <w:pPr>
      <w:autoSpaceDE/>
      <w:autoSpaceDN/>
      <w:snapToGrid/>
      <w:spacing w:line="240" w:lineRule="auto"/>
      <w:ind w:firstLine="420" w:firstLineChars="200"/>
    </w:pPr>
    <w:rPr>
      <w:rFonts w:asciiTheme="minorHAnsi" w:hAnsiTheme="minorHAnsi" w:eastAsiaTheme="minorEastAsia" w:cstheme="minorBidi"/>
      <w:snapToGrid/>
      <w:kern w:val="2"/>
      <w:sz w:val="21"/>
      <w:szCs w:val="22"/>
    </w:rPr>
  </w:style>
  <w:style w:type="character" w:customStyle="1" w:styleId="28">
    <w:name w:val="页脚 Char"/>
    <w:basedOn w:val="17"/>
    <w:link w:val="10"/>
    <w:qFormat/>
    <w:uiPriority w:val="0"/>
    <w:rPr>
      <w:rFonts w:ascii="方正仿宋_GBK" w:eastAsia="方正仿宋_GBK"/>
      <w:snapToGrid w:val="0"/>
      <w:sz w:val="28"/>
    </w:rPr>
  </w:style>
  <w:style w:type="character" w:customStyle="1" w:styleId="29">
    <w:name w:val="正文文本 Char"/>
    <w:basedOn w:val="17"/>
    <w:link w:val="8"/>
    <w:semiHidden/>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2516F-77E4-4F11-A6C1-7B082142DBC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4490</Words>
  <Characters>4590</Characters>
  <Lines>41</Lines>
  <Paragraphs>11</Paragraphs>
  <TotalTime>88</TotalTime>
  <ScaleCrop>false</ScaleCrop>
  <LinksUpToDate>false</LinksUpToDate>
  <CharactersWithSpaces>4683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2025-10-30T07:48:00Z</dcterms:created>
  <dc:creator>taiji</dc:creator>
  <cp:lastModifiedBy>猛然回首</cp:lastModifiedBy>
  <cp:lastPrinted>2025-09-23T01:40:00Z</cp:lastPrinted>
  <dcterms:modified xsi:type="dcterms:W3CDTF">2025-11-27T09:21:25Z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AC294D1ECCE34789A2F6B7EBD6C94605_13</vt:lpwstr>
  </property>
  <property fmtid="{D5CDD505-2E9C-101B-9397-08002B2CF9AE}" pid="4" name="KSOTemplateDocerSaveRecord">
    <vt:lpwstr>eyJoZGlkIjoiZmUwMDdkZThkODQxZjQ1ZGVlY2NjNTAxODAyNjczYWEiLCJ1c2VySWQiOiI2MTQ2MTQzNDQifQ==</vt:lpwstr>
  </property>
</Properties>
</file>