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63D2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关于《淮安市</w:t>
      </w:r>
      <w:r>
        <w:rPr>
          <w:rFonts w:hint="eastAsia" w:ascii="方正小标宋_GBK" w:hAnsi="Times New Roman" w:eastAsia="方正小标宋_GBK"/>
          <w:sz w:val="44"/>
          <w:szCs w:val="44"/>
          <w:highlight w:val="none"/>
          <w:lang w:val="en-US" w:eastAsia="zh-CN"/>
        </w:rPr>
        <w:t>洪泽区制造强区发</w:t>
      </w:r>
      <w:r>
        <w:rPr>
          <w:rFonts w:hint="eastAsia" w:ascii="方正小标宋_GBK" w:hAnsi="Times New Roman" w:eastAsia="方正小标宋_GBK"/>
          <w:sz w:val="44"/>
          <w:szCs w:val="44"/>
          <w:highlight w:val="none"/>
        </w:rPr>
        <w:t>展专项引导资金管理办法</w:t>
      </w:r>
      <w:r>
        <w:rPr>
          <w:rFonts w:hint="eastAsia" w:ascii="方正小标宋_GBK" w:hAnsi="Times New Roman" w:eastAsia="方正小标宋_GBK"/>
          <w:sz w:val="44"/>
          <w:szCs w:val="44"/>
          <w:highlight w:val="none"/>
          <w:lang w:eastAsia="zh-CN"/>
        </w:rPr>
        <w:t>（征求意见稿）</w:t>
      </w:r>
      <w:r>
        <w:rPr>
          <w:rFonts w:hint="eastAsia" w:ascii="方正小标宋_GBK" w:hAnsi="方正小标宋_GBK" w:eastAsia="方正小标宋_GBK" w:cs="方正小标宋_GBK"/>
          <w:sz w:val="44"/>
          <w:szCs w:val="44"/>
          <w:lang w:eastAsia="zh-CN"/>
        </w:rPr>
        <w:t>》起草情况的说明</w:t>
      </w:r>
    </w:p>
    <w:p w14:paraId="0522D12F">
      <w:pPr>
        <w:keepNext w:val="0"/>
        <w:keepLines w:val="0"/>
        <w:pageBreakBefore w:val="0"/>
        <w:widowControl w:val="0"/>
        <w:kinsoku/>
        <w:wordWrap/>
        <w:overflowPunct/>
        <w:topLinePunct w:val="0"/>
        <w:autoSpaceDN/>
        <w:bidi w:val="0"/>
        <w:adjustRightInd/>
        <w:snapToGrid/>
        <w:spacing w:line="560" w:lineRule="exact"/>
        <w:jc w:val="center"/>
        <w:textAlignment w:val="auto"/>
        <w:rPr>
          <w:rFonts w:hint="default" w:ascii="方正楷体_GBK" w:eastAsia="方正楷体_GBK"/>
          <w:b w:val="0"/>
          <w:bCs w:val="0"/>
          <w:sz w:val="32"/>
          <w:szCs w:val="32"/>
          <w:lang w:val="en-US" w:eastAsia="zh-CN"/>
        </w:rPr>
      </w:pPr>
      <w:r>
        <w:rPr>
          <w:rFonts w:hint="eastAsia" w:ascii="方正楷体_GBK" w:eastAsia="方正楷体_GBK"/>
          <w:b w:val="0"/>
          <w:bCs w:val="0"/>
          <w:sz w:val="32"/>
          <w:szCs w:val="32"/>
          <w:lang w:eastAsia="zh-CN"/>
        </w:rPr>
        <w:t>区</w:t>
      </w:r>
      <w:r>
        <w:rPr>
          <w:rFonts w:hint="eastAsia" w:ascii="方正楷体_GBK" w:eastAsia="方正楷体_GBK"/>
          <w:b w:val="0"/>
          <w:bCs w:val="0"/>
          <w:sz w:val="32"/>
          <w:szCs w:val="32"/>
          <w:lang w:val="en-US" w:eastAsia="zh-CN"/>
        </w:rPr>
        <w:t>工信局</w:t>
      </w:r>
    </w:p>
    <w:p w14:paraId="0A811840">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方正楷体_GBK" w:eastAsia="方正楷体_GBK"/>
          <w:b w:val="0"/>
          <w:bCs w:val="0"/>
          <w:sz w:val="32"/>
          <w:szCs w:val="32"/>
          <w:lang w:val="en-US" w:eastAsia="zh-CN"/>
        </w:rPr>
      </w:pPr>
      <w:r>
        <w:rPr>
          <w:rFonts w:hint="eastAsia" w:ascii="方正楷体_GBK" w:eastAsia="方正楷体_GBK"/>
          <w:b w:val="0"/>
          <w:bCs w:val="0"/>
          <w:sz w:val="32"/>
          <w:szCs w:val="32"/>
          <w:lang w:val="en-US" w:eastAsia="zh-CN"/>
        </w:rPr>
        <w:t>（</w:t>
      </w:r>
      <w:r>
        <w:rPr>
          <w:rFonts w:hint="default" w:ascii="Times New Roman" w:hAnsi="Times New Roman" w:eastAsia="方正楷体_GBK" w:cs="Times New Roman"/>
          <w:b w:val="0"/>
          <w:bCs w:val="0"/>
          <w:sz w:val="32"/>
          <w:szCs w:val="32"/>
          <w:lang w:val="en-US" w:eastAsia="zh-CN"/>
        </w:rPr>
        <w:t>2026</w:t>
      </w:r>
      <w:r>
        <w:rPr>
          <w:rFonts w:hint="eastAsia" w:ascii="方正楷体_GBK" w:eastAsia="方正楷体_GBK"/>
          <w:b w:val="0"/>
          <w:bCs w:val="0"/>
          <w:sz w:val="32"/>
          <w:szCs w:val="32"/>
          <w:lang w:val="en-US" w:eastAsia="zh-CN"/>
        </w:rPr>
        <w:t>年</w:t>
      </w:r>
      <w:r>
        <w:rPr>
          <w:rFonts w:hint="eastAsia" w:ascii="Times New Roman" w:hAnsi="Times New Roman" w:eastAsia="方正楷体_GBK" w:cs="Times New Roman"/>
          <w:b w:val="0"/>
          <w:bCs w:val="0"/>
          <w:sz w:val="32"/>
          <w:szCs w:val="32"/>
          <w:lang w:val="en-US" w:eastAsia="zh-CN"/>
        </w:rPr>
        <w:t>3</w:t>
      </w:r>
      <w:r>
        <w:rPr>
          <w:rFonts w:hint="eastAsia" w:ascii="方正楷体_GBK" w:eastAsia="方正楷体_GBK"/>
          <w:b w:val="0"/>
          <w:bCs w:val="0"/>
          <w:sz w:val="32"/>
          <w:szCs w:val="32"/>
          <w:lang w:val="en-US" w:eastAsia="zh-CN"/>
        </w:rPr>
        <w:t>月）</w:t>
      </w:r>
    </w:p>
    <w:p w14:paraId="4B12B7D0">
      <w:pPr>
        <w:keepNext w:val="0"/>
        <w:keepLines w:val="0"/>
        <w:pageBreakBefore w:val="0"/>
        <w:widowControl w:val="0"/>
        <w:kinsoku/>
        <w:wordWrap/>
        <w:overflowPunct/>
        <w:topLinePunct w:val="0"/>
        <w:autoSpaceDN/>
        <w:bidi w:val="0"/>
        <w:adjustRightInd/>
        <w:snapToGrid/>
        <w:spacing w:line="560" w:lineRule="exact"/>
        <w:jc w:val="both"/>
        <w:textAlignment w:val="auto"/>
        <w:rPr>
          <w:rFonts w:hint="eastAsia" w:eastAsia="方正仿宋_GBK"/>
          <w:sz w:val="36"/>
          <w:szCs w:val="36"/>
          <w:lang w:eastAsia="zh-CN"/>
        </w:rPr>
      </w:pPr>
      <w:bookmarkStart w:id="0" w:name="_GoBack"/>
      <w:bookmarkEnd w:id="0"/>
    </w:p>
    <w:p w14:paraId="19B69C53">
      <w:pPr>
        <w:pStyle w:val="5"/>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黑体_GBK" w:eastAsia="方正黑体_GBK"/>
          <w:b w:val="0"/>
          <w:bCs w:val="0"/>
          <w:sz w:val="32"/>
          <w:szCs w:val="32"/>
          <w:lang w:eastAsia="zh-CN"/>
        </w:rPr>
      </w:pPr>
      <w:r>
        <w:rPr>
          <w:rFonts w:hint="eastAsia" w:ascii="方正黑体_GBK" w:eastAsia="方正黑体_GBK"/>
          <w:b w:val="0"/>
          <w:bCs w:val="0"/>
          <w:sz w:val="32"/>
          <w:szCs w:val="32"/>
          <w:lang w:eastAsia="zh-CN"/>
        </w:rPr>
        <w:t>起草背景</w:t>
      </w:r>
    </w:p>
    <w:p w14:paraId="36D27745">
      <w:pPr>
        <w:keepNext w:val="0"/>
        <w:keepLines w:val="0"/>
        <w:pageBreakBefore w:val="0"/>
        <w:kinsoku/>
        <w:wordWrap/>
        <w:overflowPunct w:val="0"/>
        <w:topLinePunct w:val="0"/>
        <w:autoSpaceDE/>
        <w:autoSpaceDN/>
        <w:bidi w:val="0"/>
        <w:adjustRightInd/>
        <w:snapToGrid w:val="0"/>
        <w:spacing w:line="560" w:lineRule="exact"/>
        <w:ind w:firstLine="640" w:firstLineChars="200"/>
        <w:jc w:val="left"/>
        <w:textAlignment w:val="auto"/>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lang w:val="en"/>
        </w:rPr>
        <w:t>为鼓励和支持制造业发展，不断提升制造业企业的生产效率和行业竞争力，持续打造以智能制造、两化融合为重点的智能制造工业体系，加快培育洪泽工业经济增长新动能，根据《中华人民共和国预算法</w:t>
      </w:r>
      <w:r>
        <w:rPr>
          <w:rFonts w:hint="eastAsia" w:ascii="Times New Roman" w:hAnsi="Times New Roman" w:eastAsia="方正仿宋_GBK"/>
          <w:sz w:val="32"/>
          <w:szCs w:val="32"/>
          <w:highlight w:val="none"/>
          <w:lang w:val="en" w:eastAsia="zh-CN"/>
        </w:rPr>
        <w:t>》</w:t>
      </w:r>
      <w:r>
        <w:rPr>
          <w:rFonts w:hint="eastAsia" w:ascii="Times New Roman" w:hAnsi="Times New Roman" w:eastAsia="方正仿宋_GBK"/>
          <w:sz w:val="32"/>
          <w:szCs w:val="32"/>
          <w:highlight w:val="none"/>
          <w:lang w:val="en-US" w:eastAsia="zh-CN"/>
        </w:rPr>
        <w:t>《淮安市工业强市发展专项引导</w:t>
      </w:r>
      <w:r>
        <w:rPr>
          <w:rFonts w:hint="default" w:ascii="Times New Roman" w:hAnsi="Times New Roman" w:eastAsia="方正仿宋_GBK"/>
          <w:sz w:val="32"/>
          <w:szCs w:val="32"/>
          <w:highlight w:val="none"/>
          <w:lang w:val="en-US" w:eastAsia="zh-CN"/>
        </w:rPr>
        <w:t>资金管理办法》</w:t>
      </w:r>
      <w:r>
        <w:rPr>
          <w:rFonts w:hint="eastAsia" w:ascii="Times New Roman" w:hAnsi="Times New Roman" w:eastAsia="方正仿宋_GBK"/>
          <w:sz w:val="32"/>
          <w:szCs w:val="32"/>
          <w:highlight w:val="none"/>
          <w:lang w:val="en"/>
        </w:rPr>
        <w:t>等有关规定，</w:t>
      </w:r>
      <w:r>
        <w:rPr>
          <w:rFonts w:hint="eastAsia" w:ascii="Times New Roman" w:hAnsi="Times New Roman" w:eastAsia="方正仿宋_GBK"/>
          <w:sz w:val="32"/>
          <w:szCs w:val="32"/>
          <w:highlight w:val="none"/>
          <w:lang w:val="en" w:eastAsia="zh-CN"/>
        </w:rPr>
        <w:t>起草</w:t>
      </w:r>
      <w:r>
        <w:rPr>
          <w:rFonts w:hint="eastAsia" w:ascii="方正仿宋_GBK" w:hAnsi="方正仿宋_GBK" w:eastAsia="方正仿宋_GBK" w:cs="方正仿宋_GBK"/>
          <w:color w:val="000000"/>
          <w:kern w:val="0"/>
          <w:sz w:val="32"/>
          <w:szCs w:val="32"/>
          <w:lang w:val="en-US" w:eastAsia="zh-CN"/>
        </w:rPr>
        <w:t>《管理办法》</w:t>
      </w:r>
      <w:r>
        <w:rPr>
          <w:rFonts w:hint="eastAsia" w:ascii="Times New Roman" w:hAnsi="Times New Roman" w:eastAsia="方正仿宋_GBK"/>
          <w:sz w:val="32"/>
          <w:szCs w:val="32"/>
          <w:highlight w:val="none"/>
          <w:lang w:val="en"/>
        </w:rPr>
        <w:t>。</w:t>
      </w:r>
    </w:p>
    <w:p w14:paraId="76B8ECD2">
      <w:pPr>
        <w:pStyle w:val="5"/>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黑体_GBK" w:eastAsia="方正黑体_GBK"/>
          <w:b w:val="0"/>
          <w:bCs w:val="0"/>
          <w:color w:val="auto"/>
          <w:sz w:val="32"/>
          <w:szCs w:val="32"/>
          <w:lang w:eastAsia="zh-CN"/>
        </w:rPr>
      </w:pPr>
      <w:r>
        <w:rPr>
          <w:rFonts w:hint="eastAsia" w:ascii="方正黑体_GBK" w:eastAsia="方正黑体_GBK"/>
          <w:b w:val="0"/>
          <w:bCs w:val="0"/>
          <w:color w:val="auto"/>
          <w:sz w:val="32"/>
          <w:szCs w:val="32"/>
          <w:lang w:eastAsia="zh-CN"/>
        </w:rPr>
        <w:t>主要内容</w:t>
      </w:r>
    </w:p>
    <w:p w14:paraId="02C5115B">
      <w:pPr>
        <w:keepNext w:val="0"/>
        <w:keepLines w:val="0"/>
        <w:pageBreakBefore w:val="0"/>
        <w:kinsoku/>
        <w:wordWrap/>
        <w:overflowPunct w:val="0"/>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sz w:val="32"/>
          <w:szCs w:val="32"/>
          <w:highlight w:val="none"/>
          <w:lang w:val="en-US" w:eastAsia="zh-CN"/>
        </w:rPr>
        <w:t>《管理办法》共分为六个部分，主要包括总则、职责分工、专项资金支持范围和分配方式，项目申报、审核和资金下达、绩效管理与监督、附则等方面内容：</w:t>
      </w:r>
    </w:p>
    <w:p w14:paraId="7382BA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sz w:val="32"/>
          <w:szCs w:val="32"/>
          <w:highlight w:val="none"/>
          <w:lang w:val="en-US" w:eastAsia="zh-CN"/>
        </w:rPr>
        <w:t>总则</w:t>
      </w:r>
      <w:r>
        <w:rPr>
          <w:rFonts w:hint="eastAsia" w:ascii="方正楷体_GBK" w:hAnsi="方正楷体_GBK" w:eastAsia="方正楷体_GBK" w:cs="方正楷体_GBK"/>
          <w:b/>
          <w:bCs/>
          <w:sz w:val="32"/>
          <w:szCs w:val="32"/>
          <w:lang w:val="en-US" w:eastAsia="zh-CN"/>
        </w:rPr>
        <w:t>。</w:t>
      </w:r>
      <w:r>
        <w:rPr>
          <w:rFonts w:hint="eastAsia" w:ascii="方正仿宋_GBK" w:hAnsi="方正仿宋_GBK" w:eastAsia="方正仿宋_GBK" w:cs="方正仿宋_GBK"/>
          <w:sz w:val="32"/>
          <w:szCs w:val="32"/>
          <w:lang w:val="en-US" w:eastAsia="zh-CN"/>
        </w:rPr>
        <w:t>具体包括政策起草的现实背景和必要性说明、作为支撑的相关法律法规及政策文件引用、以及专项资金所重点支持的方向和产业领域等内容。</w:t>
      </w:r>
    </w:p>
    <w:p w14:paraId="0EEC32A4">
      <w:pPr>
        <w:keepNext w:val="0"/>
        <w:keepLines w:val="0"/>
        <w:pageBreakBefore w:val="0"/>
        <w:kinsoku/>
        <w:wordWrap/>
        <w:overflowPunct w:val="0"/>
        <w:topLinePunct w:val="0"/>
        <w:autoSpaceDE/>
        <w:autoSpaceDN/>
        <w:bidi w:val="0"/>
        <w:adjustRightInd/>
        <w:spacing w:line="560" w:lineRule="exact"/>
        <w:ind w:firstLine="640" w:firstLineChars="200"/>
        <w:textAlignment w:val="auto"/>
        <w:outlineLvl w:val="2"/>
        <w:rPr>
          <w:rFonts w:hint="eastAsia" w:ascii="Times New Roman" w:hAnsi="Times New Roman" w:eastAsia="方正仿宋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（二）职责分工。</w:t>
      </w:r>
      <w:r>
        <w:rPr>
          <w:rFonts w:hint="eastAsia" w:ascii="Times New Roman" w:hAnsi="Times New Roman" w:eastAsia="方正仿宋_GBK"/>
          <w:sz w:val="32"/>
          <w:szCs w:val="32"/>
          <w:highlight w:val="none"/>
          <w:lang w:val="en-US" w:eastAsia="zh-CN"/>
        </w:rPr>
        <w:t>本部分系统明确了各相关主体在项目管理中的具体职能，主要包括各项目主管部门职责、区财政职责、区制造强区建设领导小组办公室职责及项目承担单位应当履行以下责任和义务等内容。</w:t>
      </w:r>
    </w:p>
    <w:p w14:paraId="23CB61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（三）专项资金支持范围和分配方式。</w:t>
      </w:r>
      <w:r>
        <w:rPr>
          <w:rFonts w:hint="eastAsia" w:ascii="Times New Roman" w:hAnsi="Times New Roman" w:eastAsia="方正仿宋_GBK"/>
          <w:sz w:val="32"/>
          <w:szCs w:val="32"/>
          <w:highlight w:val="none"/>
          <w:lang w:val="en-US" w:eastAsia="zh-CN"/>
        </w:rPr>
        <w:t>该部分详细列出了专项资金所覆盖的具体产业领域和支持对象，包括专项资金重点支持的技术改造、创新研发等方向，同时明确资金分配所采取的方式。</w:t>
      </w:r>
    </w:p>
    <w:p w14:paraId="1D0118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highlight w:val="none"/>
          <w:lang w:val="en-US" w:eastAsia="zh-CN"/>
        </w:rPr>
        <w:t>（四）项目申报、审核和资金下达。</w:t>
      </w:r>
      <w:r>
        <w:rPr>
          <w:rFonts w:hint="eastAsia" w:ascii="方正仿宋_GBK" w:hAnsi="方正仿宋_GBK" w:eastAsia="方正仿宋_GBK" w:cs="方正仿宋_GBK"/>
          <w:sz w:val="32"/>
          <w:szCs w:val="32"/>
          <w:lang w:val="en-US" w:eastAsia="zh-CN"/>
        </w:rPr>
        <w:t>该部分具体规定了项目申报的途径、材料要求与时间节点，明确了从形式审查、评审到结果公示的完整审核流程，并说明了资金批复、计划下达及拨付程序的具体安排。</w:t>
      </w:r>
    </w:p>
    <w:p w14:paraId="77BC78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（五）绩效管理与监督。</w:t>
      </w:r>
      <w:r>
        <w:rPr>
          <w:rFonts w:hint="eastAsia" w:ascii="Times New Roman" w:hAnsi="Times New Roman" w:eastAsia="方正仿宋_GBK"/>
          <w:sz w:val="32"/>
          <w:szCs w:val="32"/>
          <w:highlight w:val="none"/>
          <w:lang w:val="en-US" w:eastAsia="zh-CN"/>
        </w:rPr>
        <w:t>该部分着重强调了专项资金的全过程管理要求，包括资金拨付后的使用规范、定期开展的绩效目标管理与评价工作，以及审计、监察等部门对项目执行和资金使用情况实施的监督检查与问责机制等内容。</w:t>
      </w:r>
    </w:p>
    <w:p w14:paraId="2EBBB4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（六）附则。</w:t>
      </w:r>
      <w:r>
        <w:rPr>
          <w:rFonts w:hint="eastAsia" w:ascii="Times New Roman" w:hAnsi="Times New Roman" w:eastAsia="方正仿宋_GBK"/>
          <w:sz w:val="32"/>
          <w:szCs w:val="32"/>
          <w:highlight w:val="none"/>
          <w:lang w:val="en-US" w:eastAsia="zh-CN"/>
        </w:rPr>
        <w:t>该部分主要说明《管理办法》实行的时间。</w:t>
      </w:r>
    </w:p>
    <w:sectPr>
      <w:footerReference r:id="rId3" w:type="default"/>
      <w:pgSz w:w="11906" w:h="16838"/>
      <w:pgMar w:top="1814" w:right="1531" w:bottom="1984"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1" w:fontKey="{B75F6829-C4F7-48FC-AD1F-3B24168425BE}"/>
  </w:font>
  <w:font w:name="方正大标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B21FEF71-D8E8-49CF-AE40-0546A9D1D7B5}"/>
  </w:font>
  <w:font w:name="方正仿宋_GBK">
    <w:panose1 w:val="03000509000000000000"/>
    <w:charset w:val="86"/>
    <w:family w:val="auto"/>
    <w:pitch w:val="default"/>
    <w:sig w:usb0="00000001" w:usb1="080E0000" w:usb2="00000000" w:usb3="00000000" w:csb0="00040000" w:csb1="00000000"/>
    <w:embedRegular r:id="rId3" w:fontKey="{0BBB87A4-581E-414E-8407-AE56959796FD}"/>
  </w:font>
  <w:font w:name="方正黑体_GBK">
    <w:panose1 w:val="03000509000000000000"/>
    <w:charset w:val="86"/>
    <w:family w:val="auto"/>
    <w:pitch w:val="default"/>
    <w:sig w:usb0="00000001" w:usb1="080E0000" w:usb2="00000000" w:usb3="00000000" w:csb0="00040000" w:csb1="00000000"/>
    <w:embedRegular r:id="rId4" w:fontKey="{B6D987C5-1013-4D90-A53D-8F867631CA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E4CA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161E0">
                          <w:pPr>
                            <w:pStyle w:val="6"/>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2161E0">
                    <w:pPr>
                      <w:pStyle w:val="6"/>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6D3B9"/>
    <w:multiLevelType w:val="singleLevel"/>
    <w:tmpl w:val="F576D3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MWFhNmM0NGJmYmZjNWE0OTAxMjdmNzM4MDJhZmIifQ=="/>
  </w:docVars>
  <w:rsids>
    <w:rsidRoot w:val="5FFF11C6"/>
    <w:rsid w:val="05B30C06"/>
    <w:rsid w:val="0A4E5301"/>
    <w:rsid w:val="0F4F7561"/>
    <w:rsid w:val="18D80C51"/>
    <w:rsid w:val="1BF956CF"/>
    <w:rsid w:val="1C720323"/>
    <w:rsid w:val="1F5C7195"/>
    <w:rsid w:val="22A21F61"/>
    <w:rsid w:val="28290FF3"/>
    <w:rsid w:val="2D39592C"/>
    <w:rsid w:val="30A2755A"/>
    <w:rsid w:val="3161596C"/>
    <w:rsid w:val="36363195"/>
    <w:rsid w:val="409014D3"/>
    <w:rsid w:val="416037A6"/>
    <w:rsid w:val="43456DEC"/>
    <w:rsid w:val="44A91D2A"/>
    <w:rsid w:val="47960764"/>
    <w:rsid w:val="481046D1"/>
    <w:rsid w:val="48A91760"/>
    <w:rsid w:val="4D654866"/>
    <w:rsid w:val="4E52650F"/>
    <w:rsid w:val="50953634"/>
    <w:rsid w:val="50DF21FA"/>
    <w:rsid w:val="527B4AB6"/>
    <w:rsid w:val="56BA5480"/>
    <w:rsid w:val="5F5D6897"/>
    <w:rsid w:val="5FFF11C6"/>
    <w:rsid w:val="69E62083"/>
    <w:rsid w:val="6CF87F54"/>
    <w:rsid w:val="6E6A9BA3"/>
    <w:rsid w:val="6F7F6291"/>
    <w:rsid w:val="722C2B27"/>
    <w:rsid w:val="79D04D61"/>
    <w:rsid w:val="7A9B5CDB"/>
    <w:rsid w:val="7AA008BF"/>
    <w:rsid w:val="7EFD8F77"/>
    <w:rsid w:val="7FFF8B2E"/>
    <w:rsid w:val="BB7D7EC8"/>
    <w:rsid w:val="BF7EAA86"/>
    <w:rsid w:val="BFD542AD"/>
    <w:rsid w:val="EDF5FF83"/>
    <w:rsid w:val="EDFF4058"/>
    <w:rsid w:val="FCFE0140"/>
    <w:rsid w:val="FDEDF58B"/>
    <w:rsid w:val="FF6A8B0C"/>
    <w:rsid w:val="FFFF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style>
  <w:style w:type="paragraph" w:styleId="4">
    <w:name w:val="toc 5"/>
    <w:basedOn w:val="1"/>
    <w:next w:val="1"/>
    <w:autoRedefine/>
    <w:qFormat/>
    <w:uiPriority w:val="0"/>
    <w:pPr>
      <w:ind w:left="1680" w:leftChars="800"/>
    </w:pPr>
  </w:style>
  <w:style w:type="paragraph" w:styleId="5">
    <w:name w:val="Body Text Indent"/>
    <w:basedOn w:val="1"/>
    <w:qFormat/>
    <w:uiPriority w:val="0"/>
    <w:pPr>
      <w:spacing w:after="120"/>
      <w:ind w:left="20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next w:val="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heading"/>
    <w:basedOn w:val="1"/>
    <w:next w:val="9"/>
    <w:autoRedefine/>
    <w:qFormat/>
    <w:uiPriority w:val="0"/>
    <w:pPr>
      <w:spacing w:line="500" w:lineRule="exact"/>
    </w:pPr>
    <w:rPr>
      <w:rFonts w:ascii="仿宋_GB2312" w:hAnsi="Calibri" w:eastAsia="仿宋_GB2312" w:cs="Times New Roman"/>
      <w:sz w:val="28"/>
    </w:rPr>
  </w:style>
  <w:style w:type="paragraph" w:styleId="9">
    <w:name w:val="index 1"/>
    <w:basedOn w:val="1"/>
    <w:next w:val="1"/>
    <w:autoRedefine/>
    <w:qFormat/>
    <w:uiPriority w:val="0"/>
    <w:pPr>
      <w:suppressLineNumbers/>
      <w:suppressAutoHyphens/>
      <w:spacing w:line="288" w:lineRule="auto"/>
    </w:pPr>
    <w:rPr>
      <w:rFonts w:ascii="Calibri" w:hAnsi="Calibri" w:eastAsia="宋体" w:cs="Times New Roman"/>
      <w:sz w:val="24"/>
    </w:rPr>
  </w:style>
  <w:style w:type="paragraph" w:styleId="10">
    <w:name w:val="Normal (Web)"/>
    <w:basedOn w:val="1"/>
    <w:qFormat/>
    <w:uiPriority w:val="0"/>
    <w:rPr>
      <w:sz w:val="24"/>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42f97295-5936-41a6-a115-a01d3287a681</errorID>
      <errorWord>泽</errorWord>
      <group>L1_Word</group>
      <groupName>字词问题</groupName>
      <ability>L2_Typo</ability>
      <abilityName>字词错误</abilityName>
      <candidateList>
        <item>色</item>
      </candidateList>
      <explain/>
      <paraID>36D27745</paraID>
      <start>65</start>
      <end>66</end>
      <status>unmodified</status>
      <modifiedWord/>
      <trackRevisions>false</trackRevisions>
    </reviewItem>
    <reviewItem>
      <errorID>20e8a048-4251-4aa2-9d43-15109a0b5d4a</errorID>
      <errorWord>督</errorWord>
      <group>L1_Word</group>
      <groupName>字词问题</groupName>
      <ability>L2_Typo</ability>
      <abilityName>字词错误</abilityName>
      <candidateList>
        <item>督等</item>
      </candidateList>
      <explain/>
      <paraID>3E54F1E4</paraID>
      <start>28</start>
      <end>30</end>
      <status>modified</status>
      <modifiedWord>督等</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bf0f6-dc27-4d07-9dc8-1724a547170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803</Words>
  <Characters>806</Characters>
  <Lines>0</Lines>
  <Paragraphs>0</Paragraphs>
  <TotalTime>73</TotalTime>
  <ScaleCrop>false</ScaleCrop>
  <LinksUpToDate>false</LinksUpToDate>
  <CharactersWithSpaces>806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2023-06-21T09:08:00Z</dcterms:created>
  <dc:creator>taiji</dc:creator>
  <cp:lastModifiedBy>提拉米苏</cp:lastModifiedBy>
  <cp:lastPrinted>2026-03-09T02:02:00Z</cp:lastPrinted>
  <dcterms:modified xsi:type="dcterms:W3CDTF">2026-03-24T09:18:50Z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E787BC3DDF364996A7B593725ACDD97C_13</vt:lpwstr>
  </property>
  <property fmtid="{D5CDD505-2E9C-101B-9397-08002B2CF9AE}" pid="4" name="KSOTemplateDocerSaveRecord">
    <vt:lpwstr>eyJoZGlkIjoiNWRhZTJhZGE3MDZmMWM3MmJkNjVhNmQ3OTU5NzllYjQiLCJ1c2VySWQiOiIxMDY1ODU3ODYzIn0=</vt:lpwstr>
  </property>
</Properties>
</file>