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5E927">
      <w:pPr>
        <w:pStyle w:val="3"/>
        <w:keepNext/>
        <w:snapToGrid w:val="0"/>
        <w:spacing w:after="0" w:line="360" w:lineRule="auto"/>
        <w:ind w:left="0" w:leftChars="0" w:firstLine="0" w:firstLineChars="0"/>
        <w:jc w:val="center"/>
        <w:rPr>
          <w:rFonts w:hint="eastAsia" w:ascii="宋体" w:hAnsi="宋体" w:eastAsia="宋体" w:cs="宋体"/>
          <w:b/>
          <w:bCs w:val="0"/>
          <w:color w:val="auto"/>
          <w:sz w:val="36"/>
          <w:szCs w:val="36"/>
          <w:highlight w:val="none"/>
          <w:lang w:val="en-US" w:eastAsia="zh-CN"/>
        </w:rPr>
      </w:pPr>
      <w:bookmarkStart w:id="0" w:name="OLE_LINK10"/>
      <w:bookmarkStart w:id="1" w:name="OLE_LINK3"/>
      <w:bookmarkStart w:id="2" w:name="OLE_LINK9"/>
      <w:r>
        <w:rPr>
          <w:rFonts w:hint="eastAsia" w:ascii="宋体" w:hAnsi="宋体" w:eastAsia="宋体" w:cs="宋体"/>
          <w:b/>
          <w:bCs w:val="0"/>
          <w:color w:val="auto"/>
          <w:sz w:val="36"/>
          <w:szCs w:val="36"/>
          <w:highlight w:val="none"/>
          <w:lang w:val="en-US" w:eastAsia="zh-CN"/>
        </w:rPr>
        <w:t>洪泽区2026年度维修基金资金存放项目</w:t>
      </w:r>
    </w:p>
    <w:p w14:paraId="7AE02DA4">
      <w:pPr>
        <w:pStyle w:val="3"/>
        <w:keepNext/>
        <w:snapToGrid w:val="0"/>
        <w:spacing w:after="0" w:line="360" w:lineRule="auto"/>
        <w:ind w:left="0" w:leftChars="0" w:firstLine="0" w:firstLineChars="0"/>
        <w:jc w:val="center"/>
        <w:rPr>
          <w:rFonts w:hint="eastAsia" w:ascii="宋体" w:hAnsi="宋体" w:eastAsia="宋体" w:cs="宋体"/>
          <w:bCs/>
          <w:color w:val="auto"/>
          <w:sz w:val="24"/>
          <w:szCs w:val="24"/>
          <w:highlight w:val="none"/>
        </w:rPr>
      </w:pPr>
      <w:r>
        <w:rPr>
          <w:rFonts w:hint="eastAsia" w:ascii="宋体" w:hAnsi="宋体" w:eastAsia="宋体" w:cs="宋体"/>
          <w:b/>
          <w:bCs w:val="0"/>
          <w:color w:val="auto"/>
          <w:sz w:val="36"/>
          <w:szCs w:val="36"/>
          <w:highlight w:val="none"/>
          <w:lang w:val="en-US" w:eastAsia="zh-CN"/>
        </w:rPr>
        <w:t>招标公告</w:t>
      </w:r>
    </w:p>
    <w:p w14:paraId="5B75DEE8">
      <w:pPr>
        <w:pStyle w:val="3"/>
        <w:keepNext/>
        <w:pageBreakBefore w:val="0"/>
        <w:widowControl w:val="0"/>
        <w:kinsoku/>
        <w:wordWrap/>
        <w:topLinePunct w:val="0"/>
        <w:bidi w:val="0"/>
        <w:snapToGrid w:val="0"/>
        <w:spacing w:after="0" w:line="52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bCs/>
          <w:color w:val="auto"/>
          <w:sz w:val="28"/>
          <w:szCs w:val="28"/>
          <w:highlight w:val="none"/>
        </w:rPr>
        <w:t>受</w:t>
      </w:r>
      <w:r>
        <w:rPr>
          <w:rFonts w:hint="eastAsia" w:ascii="仿宋" w:hAnsi="仿宋" w:eastAsia="仿宋" w:cs="仿宋"/>
          <w:bCs/>
          <w:color w:val="auto"/>
          <w:sz w:val="28"/>
          <w:szCs w:val="28"/>
          <w:highlight w:val="none"/>
          <w:lang w:eastAsia="zh-CN"/>
        </w:rPr>
        <w:t>淮安市洪泽区住房和城乡建设局</w:t>
      </w:r>
      <w:r>
        <w:rPr>
          <w:rFonts w:hint="eastAsia" w:ascii="仿宋" w:hAnsi="仿宋" w:eastAsia="仿宋" w:cs="仿宋"/>
          <w:bCs/>
          <w:color w:val="auto"/>
          <w:sz w:val="28"/>
          <w:szCs w:val="28"/>
          <w:highlight w:val="none"/>
        </w:rPr>
        <w:t>的委托，</w:t>
      </w:r>
      <w:r>
        <w:rPr>
          <w:rFonts w:hint="eastAsia" w:ascii="仿宋" w:hAnsi="仿宋" w:eastAsia="仿宋" w:cs="仿宋"/>
          <w:bCs/>
          <w:color w:val="auto"/>
          <w:sz w:val="28"/>
          <w:szCs w:val="28"/>
          <w:highlight w:val="none"/>
          <w:lang w:eastAsia="zh-CN"/>
        </w:rPr>
        <w:t>江苏神州项目管理有限公司</w:t>
      </w:r>
      <w:r>
        <w:rPr>
          <w:rFonts w:hint="eastAsia" w:ascii="仿宋" w:hAnsi="仿宋" w:eastAsia="仿宋" w:cs="仿宋"/>
          <w:bCs/>
          <w:color w:val="auto"/>
          <w:sz w:val="28"/>
          <w:szCs w:val="28"/>
          <w:highlight w:val="none"/>
        </w:rPr>
        <w:t>就</w:t>
      </w:r>
      <w:r>
        <w:rPr>
          <w:rFonts w:hint="eastAsia" w:ascii="仿宋" w:hAnsi="仿宋" w:eastAsia="仿宋" w:cs="仿宋"/>
          <w:bCs/>
          <w:color w:val="auto"/>
          <w:sz w:val="28"/>
          <w:szCs w:val="28"/>
          <w:highlight w:val="none"/>
          <w:lang w:val="en-US" w:eastAsia="zh-CN"/>
        </w:rPr>
        <w:t>洪泽区2026年度维修基金资金存放项目</w:t>
      </w:r>
      <w:r>
        <w:rPr>
          <w:rFonts w:hint="eastAsia" w:ascii="仿宋" w:hAnsi="仿宋" w:eastAsia="仿宋" w:cs="仿宋"/>
          <w:bCs/>
          <w:color w:val="auto"/>
          <w:sz w:val="28"/>
          <w:szCs w:val="28"/>
          <w:highlight w:val="none"/>
        </w:rPr>
        <w:t>进行公开招标采购，现邀请符合条件的投标人参加投标。</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53B9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noWrap w:val="0"/>
            <w:vAlign w:val="top"/>
          </w:tcPr>
          <w:p w14:paraId="75B7E055">
            <w:pPr>
              <w:keepNext/>
              <w:pageBreakBefore w:val="0"/>
              <w:widowControl w:val="0"/>
              <w:kinsoku/>
              <w:wordWrap/>
              <w:topLinePunct w:val="0"/>
              <w:bidi w:val="0"/>
              <w:snapToGrid w:val="0"/>
              <w:spacing w:line="520" w:lineRule="exact"/>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项目概况</w:t>
            </w:r>
          </w:p>
          <w:p w14:paraId="59BF9698">
            <w:pPr>
              <w:pStyle w:val="3"/>
              <w:keepNext/>
              <w:pageBreakBefore w:val="0"/>
              <w:widowControl w:val="0"/>
              <w:kinsoku/>
              <w:wordWrap/>
              <w:topLinePunct w:val="0"/>
              <w:bidi w:val="0"/>
              <w:snapToGrid w:val="0"/>
              <w:spacing w:after="0" w:line="520" w:lineRule="exact"/>
              <w:ind w:left="0" w:leftChars="0" w:firstLine="0" w:firstLineChars="0"/>
              <w:textAlignment w:val="auto"/>
              <w:rPr>
                <w:rFonts w:hint="eastAsia" w:ascii="仿宋" w:hAnsi="仿宋" w:eastAsia="仿宋" w:cs="仿宋"/>
                <w:color w:val="auto"/>
                <w:sz w:val="28"/>
                <w:szCs w:val="28"/>
                <w:highlight w:val="none"/>
              </w:rPr>
            </w:pPr>
            <w:r>
              <w:rPr>
                <w:rFonts w:hint="eastAsia" w:ascii="仿宋" w:hAnsi="仿宋" w:eastAsia="仿宋" w:cs="仿宋"/>
                <w:bCs/>
                <w:color w:val="auto"/>
                <w:sz w:val="28"/>
                <w:szCs w:val="28"/>
                <w:highlight w:val="none"/>
                <w:u w:val="single"/>
                <w:lang w:eastAsia="zh-CN"/>
              </w:rPr>
              <w:t>洪泽区2026年度维修基金资金存放项目</w:t>
            </w:r>
            <w:r>
              <w:rPr>
                <w:rFonts w:hint="eastAsia" w:ascii="仿宋" w:hAnsi="仿宋" w:eastAsia="仿宋" w:cs="仿宋"/>
                <w:bCs/>
                <w:color w:val="auto"/>
                <w:sz w:val="28"/>
                <w:szCs w:val="28"/>
                <w:highlight w:val="none"/>
              </w:rPr>
              <w:t>的潜在投标人应在</w:t>
            </w:r>
            <w:r>
              <w:rPr>
                <w:rFonts w:hint="eastAsia" w:ascii="仿宋" w:hAnsi="仿宋" w:eastAsia="仿宋" w:cs="仿宋"/>
                <w:bCs/>
                <w:color w:val="auto"/>
                <w:sz w:val="28"/>
                <w:szCs w:val="28"/>
                <w:highlight w:val="none"/>
                <w:u w:val="single"/>
              </w:rPr>
              <w:t>招标代理处报名获取招标文件</w:t>
            </w:r>
            <w:r>
              <w:rPr>
                <w:rFonts w:hint="eastAsia" w:ascii="仿宋" w:hAnsi="仿宋" w:eastAsia="仿宋" w:cs="仿宋"/>
                <w:bCs/>
                <w:color w:val="auto"/>
                <w:sz w:val="28"/>
                <w:szCs w:val="28"/>
                <w:highlight w:val="none"/>
              </w:rPr>
              <w:t>，并于</w:t>
            </w:r>
            <w:r>
              <w:rPr>
                <w:rFonts w:hint="eastAsia" w:ascii="仿宋" w:hAnsi="仿宋" w:eastAsia="仿宋" w:cs="仿宋"/>
                <w:bCs/>
                <w:color w:val="auto"/>
                <w:sz w:val="28"/>
                <w:szCs w:val="28"/>
                <w:highlight w:val="yellow"/>
                <w:u w:val="single"/>
                <w:lang w:eastAsia="zh-CN"/>
              </w:rPr>
              <w:t>202</w:t>
            </w:r>
            <w:r>
              <w:rPr>
                <w:rFonts w:hint="eastAsia" w:ascii="仿宋" w:hAnsi="仿宋" w:eastAsia="仿宋" w:cs="仿宋"/>
                <w:bCs/>
                <w:color w:val="auto"/>
                <w:sz w:val="28"/>
                <w:szCs w:val="28"/>
                <w:highlight w:val="yellow"/>
                <w:u w:val="single"/>
                <w:lang w:val="en-US" w:eastAsia="zh-CN"/>
              </w:rPr>
              <w:t>6</w:t>
            </w:r>
            <w:r>
              <w:rPr>
                <w:rFonts w:hint="eastAsia" w:ascii="仿宋" w:hAnsi="仿宋" w:eastAsia="仿宋" w:cs="仿宋"/>
                <w:bCs/>
                <w:color w:val="auto"/>
                <w:sz w:val="28"/>
                <w:szCs w:val="28"/>
                <w:highlight w:val="yellow"/>
                <w:u w:val="single"/>
                <w:lang w:eastAsia="zh-CN"/>
              </w:rPr>
              <w:t>年</w:t>
            </w:r>
            <w:r>
              <w:rPr>
                <w:rFonts w:hint="eastAsia" w:ascii="仿宋" w:hAnsi="仿宋" w:eastAsia="仿宋" w:cs="仿宋"/>
                <w:bCs/>
                <w:color w:val="auto"/>
                <w:sz w:val="28"/>
                <w:szCs w:val="28"/>
                <w:highlight w:val="yellow"/>
                <w:u w:val="single"/>
                <w:lang w:val="en-US" w:eastAsia="zh-CN"/>
              </w:rPr>
              <w:t>4</w:t>
            </w:r>
            <w:r>
              <w:rPr>
                <w:rFonts w:hint="eastAsia" w:ascii="仿宋" w:hAnsi="仿宋" w:eastAsia="仿宋" w:cs="仿宋"/>
                <w:bCs/>
                <w:color w:val="auto"/>
                <w:sz w:val="28"/>
                <w:szCs w:val="28"/>
                <w:highlight w:val="yellow"/>
                <w:u w:val="single"/>
                <w:lang w:eastAsia="zh-CN"/>
              </w:rPr>
              <w:t>月</w:t>
            </w:r>
            <w:r>
              <w:rPr>
                <w:rFonts w:hint="eastAsia" w:ascii="仿宋" w:hAnsi="仿宋" w:eastAsia="仿宋" w:cs="仿宋"/>
                <w:bCs/>
                <w:color w:val="auto"/>
                <w:sz w:val="28"/>
                <w:szCs w:val="28"/>
                <w:highlight w:val="yellow"/>
                <w:u w:val="single"/>
                <w:lang w:val="en-US" w:eastAsia="zh-CN"/>
              </w:rPr>
              <w:t>20</w:t>
            </w:r>
            <w:r>
              <w:rPr>
                <w:rFonts w:hint="eastAsia" w:ascii="仿宋" w:hAnsi="仿宋" w:eastAsia="仿宋" w:cs="仿宋"/>
                <w:bCs/>
                <w:color w:val="auto"/>
                <w:sz w:val="28"/>
                <w:szCs w:val="28"/>
                <w:highlight w:val="yellow"/>
                <w:u w:val="single"/>
                <w:lang w:eastAsia="zh-CN"/>
              </w:rPr>
              <w:t>日</w:t>
            </w:r>
            <w:r>
              <w:rPr>
                <w:rFonts w:hint="eastAsia" w:ascii="仿宋" w:hAnsi="仿宋" w:eastAsia="仿宋" w:cs="仿宋"/>
                <w:bCs/>
                <w:color w:val="auto"/>
                <w:sz w:val="28"/>
                <w:szCs w:val="28"/>
                <w:highlight w:val="yellow"/>
                <w:u w:val="single"/>
                <w:lang w:val="en-US" w:eastAsia="zh-CN"/>
              </w:rPr>
              <w:t>9</w:t>
            </w:r>
            <w:r>
              <w:rPr>
                <w:rFonts w:hint="eastAsia" w:ascii="仿宋" w:hAnsi="仿宋" w:eastAsia="仿宋" w:cs="仿宋"/>
                <w:bCs/>
                <w:color w:val="auto"/>
                <w:sz w:val="28"/>
                <w:szCs w:val="28"/>
                <w:highlight w:val="yellow"/>
                <w:u w:val="single"/>
                <w:lang w:eastAsia="zh-CN"/>
              </w:rPr>
              <w:t>点</w:t>
            </w:r>
            <w:r>
              <w:rPr>
                <w:rFonts w:hint="eastAsia" w:ascii="仿宋" w:hAnsi="仿宋" w:eastAsia="仿宋" w:cs="仿宋"/>
                <w:bCs/>
                <w:color w:val="auto"/>
                <w:sz w:val="28"/>
                <w:szCs w:val="28"/>
                <w:highlight w:val="yellow"/>
                <w:u w:val="single"/>
                <w:lang w:val="en-US" w:eastAsia="zh-CN"/>
              </w:rPr>
              <w:t>3</w:t>
            </w:r>
            <w:r>
              <w:rPr>
                <w:rFonts w:hint="eastAsia" w:ascii="仿宋" w:hAnsi="仿宋" w:eastAsia="仿宋" w:cs="仿宋"/>
                <w:bCs/>
                <w:color w:val="auto"/>
                <w:sz w:val="28"/>
                <w:szCs w:val="28"/>
                <w:highlight w:val="yellow"/>
                <w:u w:val="single"/>
                <w:lang w:eastAsia="zh-CN"/>
              </w:rPr>
              <w:t>0分</w:t>
            </w:r>
            <w:r>
              <w:rPr>
                <w:rFonts w:hint="eastAsia" w:ascii="仿宋" w:hAnsi="仿宋" w:eastAsia="仿宋" w:cs="仿宋"/>
                <w:bCs/>
                <w:color w:val="auto"/>
                <w:sz w:val="28"/>
                <w:szCs w:val="28"/>
                <w:highlight w:val="none"/>
              </w:rPr>
              <w:t>（北京时间）前递交投标文件。</w:t>
            </w:r>
          </w:p>
        </w:tc>
      </w:tr>
    </w:tbl>
    <w:p w14:paraId="70C42FFC">
      <w:pPr>
        <w:keepNext/>
        <w:pageBreakBefore w:val="0"/>
        <w:widowControl w:val="0"/>
        <w:kinsoku/>
        <w:wordWrap/>
        <w:topLinePunct w:val="0"/>
        <w:bidi w:val="0"/>
        <w:snapToGrid w:val="0"/>
        <w:spacing w:line="520" w:lineRule="exact"/>
        <w:textAlignment w:val="auto"/>
        <w:rPr>
          <w:rFonts w:hint="eastAsia" w:ascii="仿宋" w:hAnsi="仿宋" w:eastAsia="仿宋" w:cs="仿宋"/>
          <w:b/>
          <w:color w:val="auto"/>
          <w:sz w:val="28"/>
          <w:szCs w:val="28"/>
          <w:highlight w:val="none"/>
        </w:rPr>
      </w:pPr>
      <w:bookmarkStart w:id="3" w:name="_Toc21761"/>
      <w:bookmarkStart w:id="4" w:name="_Toc31238"/>
      <w:bookmarkStart w:id="5" w:name="_Toc11972"/>
      <w:r>
        <w:rPr>
          <w:rFonts w:hint="eastAsia" w:ascii="仿宋" w:hAnsi="仿宋" w:eastAsia="仿宋" w:cs="仿宋"/>
          <w:b/>
          <w:color w:val="auto"/>
          <w:sz w:val="28"/>
          <w:szCs w:val="28"/>
          <w:highlight w:val="none"/>
        </w:rPr>
        <w:t>一、项目基本情况</w:t>
      </w:r>
      <w:bookmarkEnd w:id="3"/>
      <w:bookmarkEnd w:id="4"/>
      <w:bookmarkEnd w:id="5"/>
    </w:p>
    <w:p w14:paraId="1850FCB0">
      <w:pPr>
        <w:pStyle w:val="3"/>
        <w:keepNext/>
        <w:pageBreakBefore w:val="0"/>
        <w:widowControl w:val="0"/>
        <w:kinsoku/>
        <w:wordWrap/>
        <w:topLinePunct w:val="0"/>
        <w:bidi w:val="0"/>
        <w:snapToGrid w:val="0"/>
        <w:spacing w:after="0" w:line="520" w:lineRule="exact"/>
        <w:ind w:left="0" w:leftChars="0" w:firstLine="560" w:firstLineChars="200"/>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项目编号：JSSZ-20260401-001</w:t>
      </w:r>
    </w:p>
    <w:p w14:paraId="0A01E4B1">
      <w:pPr>
        <w:pStyle w:val="3"/>
        <w:keepNext/>
        <w:pageBreakBefore w:val="0"/>
        <w:widowControl w:val="0"/>
        <w:kinsoku/>
        <w:wordWrap/>
        <w:topLinePunct w:val="0"/>
        <w:bidi w:val="0"/>
        <w:snapToGrid w:val="0"/>
        <w:spacing w:after="0" w:line="520" w:lineRule="exact"/>
        <w:ind w:left="0" w:leftChars="0" w:firstLine="560" w:firstLineChars="200"/>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项目名称：</w:t>
      </w:r>
      <w:bookmarkStart w:id="6" w:name="_Toc29241"/>
      <w:bookmarkStart w:id="7" w:name="_Toc32663"/>
      <w:bookmarkStart w:id="8" w:name="_Toc30054"/>
      <w:r>
        <w:rPr>
          <w:rFonts w:hint="eastAsia" w:ascii="仿宋" w:hAnsi="仿宋" w:eastAsia="仿宋" w:cs="仿宋"/>
          <w:bCs/>
          <w:color w:val="auto"/>
          <w:sz w:val="28"/>
          <w:szCs w:val="28"/>
          <w:highlight w:val="none"/>
          <w:lang w:val="en-US" w:eastAsia="zh-CN"/>
        </w:rPr>
        <w:t>洪泽区2026年度维修基金资金存放项目</w:t>
      </w:r>
    </w:p>
    <w:p w14:paraId="00A22002">
      <w:pPr>
        <w:pStyle w:val="3"/>
        <w:keepNext/>
        <w:pageBreakBefore w:val="0"/>
        <w:widowControl w:val="0"/>
        <w:kinsoku/>
        <w:wordWrap/>
        <w:topLinePunct w:val="0"/>
        <w:bidi w:val="0"/>
        <w:snapToGrid w:val="0"/>
        <w:spacing w:after="0" w:line="520" w:lineRule="exact"/>
        <w:ind w:left="0" w:leftChars="0"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项目资金及</w:t>
      </w:r>
      <w:r>
        <w:rPr>
          <w:rFonts w:hint="eastAsia" w:ascii="仿宋" w:hAnsi="仿宋" w:eastAsia="仿宋" w:cs="仿宋"/>
          <w:bCs/>
          <w:color w:val="auto"/>
          <w:sz w:val="28"/>
          <w:szCs w:val="28"/>
          <w:highlight w:val="none"/>
          <w:lang w:eastAsia="zh-CN"/>
        </w:rPr>
        <w:t>金额：</w:t>
      </w:r>
      <w:r>
        <w:rPr>
          <w:rFonts w:hint="eastAsia" w:ascii="仿宋" w:hAnsi="仿宋" w:eastAsia="仿宋" w:cs="仿宋"/>
          <w:bCs/>
          <w:color w:val="auto"/>
          <w:sz w:val="28"/>
          <w:szCs w:val="28"/>
          <w:highlight w:val="none"/>
          <w:lang w:val="en-US" w:eastAsia="zh-CN"/>
        </w:rPr>
        <w:t>2026年维修基金资金拟竞争性存放规模为2.2亿元，存款期限为三年，存款方式为定期存款或大额存单。分为5个标段，分别是一标段8000万元、二标段6000万元、三标段5000万元，四标段2000万元、五标段1000万元。</w:t>
      </w:r>
    </w:p>
    <w:p w14:paraId="498F974B">
      <w:pPr>
        <w:keepNext/>
        <w:pageBreakBefore w:val="0"/>
        <w:widowControl w:val="0"/>
        <w:kinsoku/>
        <w:wordWrap/>
        <w:topLinePunct w:val="0"/>
        <w:bidi w:val="0"/>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存款期限及方式：存款时间为三年，存款方式：定期存款或大额存单（通知存款等其他方式的存款不在本次项目考虑范围内）。</w:t>
      </w:r>
    </w:p>
    <w:p w14:paraId="4FFAC9FB">
      <w:pPr>
        <w:keepNext/>
        <w:pageBreakBefore w:val="0"/>
        <w:widowControl w:val="0"/>
        <w:kinsoku/>
        <w:wordWrap/>
        <w:topLinePunct w:val="0"/>
        <w:bidi w:val="0"/>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项目要求：</w:t>
      </w:r>
    </w:p>
    <w:p w14:paraId="2961E7CD">
      <w:pPr>
        <w:keepNext/>
        <w:pageBreakBefore w:val="0"/>
        <w:widowControl w:val="0"/>
        <w:kinsoku/>
        <w:wordWrap/>
        <w:topLinePunct w:val="0"/>
        <w:bidi w:val="0"/>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1.根据各合格投标人最终评审得分确定中标银行及其中标金额和中标利率。</w:t>
      </w:r>
    </w:p>
    <w:p w14:paraId="41D8CC3D">
      <w:pPr>
        <w:keepNext/>
        <w:pageBreakBefore w:val="0"/>
        <w:widowControl w:val="0"/>
        <w:kinsoku/>
        <w:wordWrap/>
        <w:topLinePunct w:val="0"/>
        <w:bidi w:val="0"/>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2.各中标银行不得将中标金额再次分包和转包。</w:t>
      </w:r>
    </w:p>
    <w:p w14:paraId="0FE298AE">
      <w:pPr>
        <w:keepNext/>
        <w:pageBreakBefore w:val="0"/>
        <w:widowControl w:val="0"/>
        <w:kinsoku/>
        <w:wordWrap/>
        <w:topLinePunct w:val="0"/>
        <w:bidi w:val="0"/>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3.采用综合评分法。综合得分前</w:t>
      </w:r>
      <w:r>
        <w:rPr>
          <w:rFonts w:hint="eastAsia" w:ascii="仿宋" w:hAnsi="仿宋" w:eastAsia="仿宋" w:cs="仿宋"/>
          <w:color w:val="auto"/>
          <w:sz w:val="28"/>
          <w:szCs w:val="28"/>
          <w:highlight w:val="none"/>
          <w:u w:val="single"/>
          <w:lang w:val="en-US" w:eastAsia="zh-CN"/>
        </w:rPr>
        <w:t>五</w:t>
      </w:r>
      <w:r>
        <w:rPr>
          <w:rFonts w:hint="eastAsia" w:ascii="仿宋" w:hAnsi="仿宋" w:eastAsia="仿宋" w:cs="仿宋"/>
          <w:color w:val="auto"/>
          <w:sz w:val="28"/>
          <w:szCs w:val="28"/>
          <w:highlight w:val="none"/>
          <w:lang w:val="en-US" w:eastAsia="zh-CN"/>
        </w:rPr>
        <w:t>名为中标单位，按得分高低依次选择第一名</w:t>
      </w:r>
      <w:r>
        <w:rPr>
          <w:rFonts w:hint="eastAsia" w:ascii="仿宋" w:hAnsi="仿宋" w:eastAsia="仿宋" w:cs="仿宋"/>
          <w:color w:val="auto"/>
          <w:sz w:val="28"/>
          <w:szCs w:val="28"/>
          <w:highlight w:val="none"/>
          <w:u w:val="none"/>
          <w:lang w:val="en-US" w:eastAsia="zh-CN"/>
        </w:rPr>
        <w:t>8000万元、第二名6000万元、第三名5000万元、第四名2000万元、第五名1000万元。若出现投标人综合得分</w:t>
      </w:r>
      <w:r>
        <w:rPr>
          <w:rFonts w:hint="eastAsia" w:ascii="仿宋" w:hAnsi="仿宋" w:eastAsia="仿宋" w:cs="仿宋"/>
          <w:color w:val="auto"/>
          <w:sz w:val="28"/>
          <w:szCs w:val="28"/>
          <w:highlight w:val="none"/>
          <w:lang w:val="en-US" w:eastAsia="zh-CN"/>
        </w:rPr>
        <w:t>相同，按利率由高到低顺序排列；得分且利率相同的，按贡献性得分高到低顺序排列。得分且利率、贡献性得分相同的，由评标委员会通过随机抽取的方式确定中标候选人。</w:t>
      </w:r>
    </w:p>
    <w:p w14:paraId="795A9BDD">
      <w:pPr>
        <w:keepNext/>
        <w:pageBreakBefore w:val="0"/>
        <w:widowControl w:val="0"/>
        <w:kinsoku/>
        <w:wordWrap/>
        <w:topLinePunct w:val="0"/>
        <w:bidi w:val="0"/>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4.如出现符合条件的投标人不满足标的要求中标家数时，按排名顺序依次由中标人承接本次存款。</w:t>
      </w:r>
    </w:p>
    <w:p w14:paraId="587FF07B">
      <w:pPr>
        <w:keepNext/>
        <w:pageBreakBefore w:val="0"/>
        <w:widowControl w:val="0"/>
        <w:kinsoku/>
        <w:wordWrap/>
        <w:topLinePunct w:val="0"/>
        <w:bidi w:val="0"/>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5.本项目不接受联合体投标。</w:t>
      </w:r>
    </w:p>
    <w:p w14:paraId="3687433D">
      <w:pPr>
        <w:keepNext/>
        <w:pageBreakBefore w:val="0"/>
        <w:widowControl w:val="0"/>
        <w:kinsoku/>
        <w:wordWrap/>
        <w:topLinePunct w:val="0"/>
        <w:bidi w:val="0"/>
        <w:snapToGrid w:val="0"/>
        <w:spacing w:line="520" w:lineRule="exact"/>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二、申请人的资格要求</w:t>
      </w:r>
      <w:bookmarkEnd w:id="6"/>
      <w:bookmarkEnd w:id="7"/>
      <w:bookmarkEnd w:id="8"/>
    </w:p>
    <w:p w14:paraId="5030778A">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（一）符合《中华人民共和国政府采购法》第二十二条规定的条件：</w:t>
      </w:r>
    </w:p>
    <w:p w14:paraId="01A5E90A">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具有独立承担民事责任的能力；</w:t>
      </w:r>
    </w:p>
    <w:p w14:paraId="6DA49139">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具有良好的商业信誉和健全的财务会计制度；</w:t>
      </w:r>
    </w:p>
    <w:p w14:paraId="571CD9D3">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具有履行合同所必需的设备和专业技术能力；</w:t>
      </w:r>
    </w:p>
    <w:p w14:paraId="7CDD5576">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有依法缴纳税收和社会保障资金的良好记录；</w:t>
      </w:r>
    </w:p>
    <w:p w14:paraId="31218ED0">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参加政府采购活动前三年内，在经营活动中没有重大违法记录；</w:t>
      </w:r>
    </w:p>
    <w:p w14:paraId="6FEB9F89">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法律、行政法规规定的其他条件。</w:t>
      </w:r>
    </w:p>
    <w:p w14:paraId="164D6C05">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（二）落实政府采购政策需满足的资格要求：无。</w:t>
      </w:r>
    </w:p>
    <w:p w14:paraId="1C970066">
      <w:pPr>
        <w:pStyle w:val="6"/>
        <w:keepNext/>
        <w:pageBreakBefore w:val="0"/>
        <w:widowControl w:val="0"/>
        <w:kinsoku/>
        <w:wordWrap/>
        <w:topLinePunct w:val="0"/>
        <w:bidi w:val="0"/>
        <w:snapToGrid w:val="0"/>
        <w:spacing w:before="0" w:beforeAutospacing="0" w:after="0" w:afterAutospacing="0" w:line="520" w:lineRule="exact"/>
        <w:ind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color w:val="auto"/>
          <w:sz w:val="28"/>
          <w:szCs w:val="28"/>
          <w:highlight w:val="none"/>
        </w:rPr>
        <w:t>（三）本项目的特定资格要求</w:t>
      </w:r>
      <w:r>
        <w:rPr>
          <w:rFonts w:hint="eastAsia" w:ascii="仿宋" w:hAnsi="仿宋" w:eastAsia="仿宋" w:cs="仿宋"/>
          <w:color w:val="auto"/>
          <w:kern w:val="2"/>
          <w:sz w:val="28"/>
          <w:szCs w:val="28"/>
          <w:highlight w:val="none"/>
        </w:rPr>
        <w:t xml:space="preserve">：    </w:t>
      </w:r>
    </w:p>
    <w:p w14:paraId="50931A83">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b w:val="0"/>
          <w:bCs w:val="0"/>
          <w:color w:val="auto"/>
          <w:sz w:val="28"/>
          <w:szCs w:val="28"/>
          <w:highlight w:val="none"/>
        </w:rPr>
      </w:pPr>
      <w:bookmarkStart w:id="9" w:name="_Toc15145"/>
      <w:bookmarkStart w:id="10" w:name="_Toc30366"/>
      <w:bookmarkStart w:id="11" w:name="_Toc5596"/>
      <w:r>
        <w:rPr>
          <w:rFonts w:hint="eastAsia" w:ascii="仿宋" w:hAnsi="仿宋" w:eastAsia="仿宋" w:cs="仿宋"/>
          <w:b w:val="0"/>
          <w:bCs w:val="0"/>
          <w:color w:val="auto"/>
          <w:sz w:val="28"/>
          <w:szCs w:val="28"/>
          <w:highlight w:val="none"/>
          <w:lang w:val="en-US" w:eastAsia="zh-CN"/>
        </w:rPr>
        <w:t>1</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rPr>
        <w:t>投标人为</w:t>
      </w:r>
      <w:r>
        <w:rPr>
          <w:rFonts w:hint="eastAsia" w:ascii="仿宋" w:hAnsi="仿宋" w:eastAsia="仿宋" w:cs="仿宋"/>
          <w:b w:val="0"/>
          <w:bCs w:val="0"/>
          <w:color w:val="auto"/>
          <w:sz w:val="28"/>
          <w:szCs w:val="28"/>
          <w:highlight w:val="none"/>
          <w:lang w:eastAsia="zh-CN"/>
        </w:rPr>
        <w:t>洪泽区</w:t>
      </w:r>
      <w:r>
        <w:rPr>
          <w:rFonts w:hint="eastAsia" w:ascii="仿宋" w:hAnsi="仿宋" w:eastAsia="仿宋" w:cs="仿宋"/>
          <w:b w:val="0"/>
          <w:bCs w:val="0"/>
          <w:color w:val="auto"/>
          <w:sz w:val="28"/>
          <w:szCs w:val="28"/>
          <w:highlight w:val="none"/>
        </w:rPr>
        <w:t>范围内各国有商业银行、政策性银行</w:t>
      </w:r>
      <w:r>
        <w:rPr>
          <w:rFonts w:hint="eastAsia" w:ascii="仿宋" w:hAnsi="仿宋" w:eastAsia="仿宋" w:cs="仿宋"/>
          <w:b w:val="0"/>
          <w:bCs w:val="0"/>
          <w:color w:val="auto"/>
          <w:sz w:val="28"/>
          <w:szCs w:val="28"/>
          <w:highlight w:val="none"/>
          <w:lang w:eastAsia="zh-CN"/>
        </w:rPr>
        <w:t>、股份制商业银行</w:t>
      </w:r>
      <w:r>
        <w:rPr>
          <w:rFonts w:hint="eastAsia" w:ascii="仿宋" w:hAnsi="仿宋" w:eastAsia="仿宋" w:cs="仿宋"/>
          <w:b w:val="0"/>
          <w:bCs w:val="0"/>
          <w:color w:val="auto"/>
          <w:sz w:val="28"/>
          <w:szCs w:val="28"/>
          <w:highlight w:val="none"/>
        </w:rPr>
        <w:t>；</w:t>
      </w:r>
    </w:p>
    <w:p w14:paraId="7DEAD1FD">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投标人具有中国银行业监督</w:t>
      </w:r>
      <w:r>
        <w:rPr>
          <w:rFonts w:hint="eastAsia" w:ascii="仿宋" w:hAnsi="仿宋" w:eastAsia="仿宋" w:cs="仿宋"/>
          <w:color w:val="auto"/>
          <w:sz w:val="28"/>
          <w:szCs w:val="28"/>
          <w:highlight w:val="none"/>
          <w:lang w:val="en-US" w:eastAsia="zh-CN"/>
        </w:rPr>
        <w:t>管理</w:t>
      </w:r>
      <w:r>
        <w:rPr>
          <w:rFonts w:hint="eastAsia" w:ascii="仿宋" w:hAnsi="仿宋" w:eastAsia="仿宋" w:cs="仿宋"/>
          <w:color w:val="auto"/>
          <w:sz w:val="28"/>
          <w:szCs w:val="28"/>
          <w:highlight w:val="none"/>
        </w:rPr>
        <w:t>委员会核发的《金融机构法人许可证》或《金融机构营业许可证》</w:t>
      </w:r>
      <w:r>
        <w:rPr>
          <w:rFonts w:hint="eastAsia" w:ascii="仿宋" w:hAnsi="仿宋" w:eastAsia="仿宋" w:cs="仿宋"/>
          <w:color w:val="auto"/>
          <w:sz w:val="28"/>
          <w:szCs w:val="28"/>
          <w:highlight w:val="none"/>
          <w:lang w:eastAsia="zh-CN"/>
        </w:rPr>
        <w:t>。</w:t>
      </w:r>
    </w:p>
    <w:p w14:paraId="40542FA4">
      <w:pPr>
        <w:keepNext/>
        <w:pageBreakBefore w:val="0"/>
        <w:widowControl w:val="0"/>
        <w:kinsoku/>
        <w:wordWrap/>
        <w:topLinePunct w:val="0"/>
        <w:bidi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bCs/>
          <w:color w:val="auto"/>
          <w:sz w:val="28"/>
          <w:szCs w:val="28"/>
          <w:highlight w:val="none"/>
          <w:lang w:val="en-US" w:eastAsia="zh-CN"/>
        </w:rPr>
        <w:t>3.</w:t>
      </w:r>
      <w:r>
        <w:rPr>
          <w:rFonts w:hint="eastAsia" w:ascii="仿宋" w:hAnsi="仿宋" w:eastAsia="仿宋" w:cs="仿宋"/>
          <w:bCs/>
          <w:color w:val="auto"/>
          <w:sz w:val="28"/>
          <w:szCs w:val="28"/>
          <w:highlight w:val="none"/>
        </w:rPr>
        <w:t>投标人</w:t>
      </w:r>
      <w:r>
        <w:rPr>
          <w:rFonts w:hint="eastAsia" w:ascii="仿宋" w:hAnsi="仿宋" w:eastAsia="仿宋" w:cs="仿宋"/>
          <w:color w:val="auto"/>
          <w:sz w:val="28"/>
          <w:szCs w:val="28"/>
          <w:highlight w:val="none"/>
        </w:rPr>
        <w:t>提供“未被监管部门提示发生重大风险事项”的声明函。</w:t>
      </w:r>
    </w:p>
    <w:p w14:paraId="2816D68E">
      <w:pPr>
        <w:keepNext/>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（四）拒绝下述条件的投标人参加本次采购活动：</w:t>
      </w:r>
    </w:p>
    <w:p w14:paraId="6F478BBC">
      <w:pPr>
        <w:keepNext/>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w:t>
      </w:r>
      <w:r>
        <w:rPr>
          <w:rFonts w:hint="eastAsia" w:ascii="仿宋" w:hAnsi="仿宋" w:eastAsia="仿宋" w:cs="仿宋"/>
          <w:bCs/>
          <w:color w:val="auto"/>
          <w:sz w:val="28"/>
          <w:szCs w:val="28"/>
          <w:highlight w:val="none"/>
          <w:lang w:eastAsia="zh-CN"/>
        </w:rPr>
        <w:t>.</w:t>
      </w:r>
      <w:r>
        <w:rPr>
          <w:rFonts w:hint="eastAsia" w:ascii="仿宋" w:hAnsi="仿宋" w:eastAsia="仿宋" w:cs="仿宋"/>
          <w:color w:val="auto"/>
          <w:sz w:val="28"/>
          <w:szCs w:val="28"/>
          <w:highlight w:val="none"/>
        </w:rPr>
        <w:t>投标人</w:t>
      </w:r>
      <w:r>
        <w:rPr>
          <w:rFonts w:hint="eastAsia" w:ascii="仿宋" w:hAnsi="仿宋" w:eastAsia="仿宋" w:cs="仿宋"/>
          <w:bCs/>
          <w:color w:val="auto"/>
          <w:sz w:val="28"/>
          <w:szCs w:val="28"/>
          <w:highlight w:val="none"/>
        </w:rPr>
        <w:t>单位负责人为同一人或者存在直接控股、管理关系的不同</w:t>
      </w:r>
      <w:r>
        <w:rPr>
          <w:rFonts w:hint="eastAsia" w:ascii="仿宋" w:hAnsi="仿宋" w:eastAsia="仿宋" w:cs="仿宋"/>
          <w:color w:val="auto"/>
          <w:sz w:val="28"/>
          <w:szCs w:val="28"/>
          <w:highlight w:val="none"/>
        </w:rPr>
        <w:t>投标人</w:t>
      </w:r>
      <w:r>
        <w:rPr>
          <w:rFonts w:hint="eastAsia" w:ascii="仿宋" w:hAnsi="仿宋" w:eastAsia="仿宋" w:cs="仿宋"/>
          <w:bCs/>
          <w:color w:val="auto"/>
          <w:sz w:val="28"/>
          <w:szCs w:val="28"/>
          <w:highlight w:val="none"/>
        </w:rPr>
        <w:t>，不得同时参加同一合同项下的政府采购活动；</w:t>
      </w:r>
    </w:p>
    <w:p w14:paraId="37A5FC81">
      <w:pPr>
        <w:keepNext/>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b/>
          <w:i/>
          <w:color w:val="auto"/>
          <w:sz w:val="28"/>
          <w:szCs w:val="28"/>
          <w:highlight w:val="none"/>
        </w:rPr>
      </w:pPr>
      <w:r>
        <w:rPr>
          <w:rFonts w:hint="eastAsia" w:ascii="仿宋" w:hAnsi="仿宋" w:eastAsia="仿宋" w:cs="仿宋"/>
          <w:bCs/>
          <w:color w:val="auto"/>
          <w:sz w:val="28"/>
          <w:szCs w:val="28"/>
          <w:highlight w:val="none"/>
        </w:rPr>
        <w:t>2</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凡为采购项目提供整体设计、规范编制或者项目管理、监理、检测等</w:t>
      </w:r>
      <w:r>
        <w:rPr>
          <w:rFonts w:hint="eastAsia" w:ascii="仿宋" w:hAnsi="仿宋" w:eastAsia="仿宋" w:cs="仿宋"/>
          <w:color w:val="auto"/>
          <w:sz w:val="28"/>
          <w:szCs w:val="28"/>
          <w:highlight w:val="none"/>
        </w:rPr>
        <w:t>服务的投标人，不得再参加本项目的采购活动；</w:t>
      </w:r>
    </w:p>
    <w:p w14:paraId="6F4F26B3">
      <w:pPr>
        <w:keepNext/>
        <w:pageBreakBefore w:val="0"/>
        <w:widowControl w:val="0"/>
        <w:kinsoku/>
        <w:wordWrap/>
        <w:topLinePunct w:val="0"/>
        <w:autoSpaceDE w:val="0"/>
        <w:autoSpaceDN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投标人被“信用中国”（www.creditchina.gov.cn）、“中国政府采购网”（www.ccgp.gov.cn）列入失信被执行人、重大税收违法案件当事人名单、政府采购严重违法失信行为记录名单。</w:t>
      </w:r>
    </w:p>
    <w:p w14:paraId="1855D8E2">
      <w:pPr>
        <w:keepNext/>
        <w:pageBreakBefore w:val="0"/>
        <w:widowControl w:val="0"/>
        <w:kinsoku/>
        <w:wordWrap/>
        <w:topLinePunct w:val="0"/>
        <w:bidi w:val="0"/>
        <w:adjustRightInd w:val="0"/>
        <w:snapToGrid w:val="0"/>
        <w:spacing w:line="520" w:lineRule="exact"/>
        <w:textAlignment w:val="auto"/>
        <w:outlineLvl w:val="1"/>
        <w:rPr>
          <w:rFonts w:hint="eastAsia" w:ascii="仿宋" w:hAnsi="仿宋" w:eastAsia="仿宋" w:cs="仿宋"/>
          <w:b/>
          <w:color w:val="auto"/>
          <w:sz w:val="28"/>
          <w:szCs w:val="28"/>
          <w:highlight w:val="none"/>
        </w:rPr>
      </w:pPr>
      <w:bookmarkStart w:id="12" w:name="_Toc13793"/>
      <w:r>
        <w:rPr>
          <w:rFonts w:hint="eastAsia" w:ascii="仿宋" w:hAnsi="仿宋" w:eastAsia="仿宋" w:cs="仿宋"/>
          <w:b/>
          <w:color w:val="auto"/>
          <w:sz w:val="28"/>
          <w:szCs w:val="28"/>
          <w:highlight w:val="none"/>
        </w:rPr>
        <w:t>三、获取招标文件</w:t>
      </w:r>
      <w:bookmarkEnd w:id="9"/>
      <w:bookmarkEnd w:id="10"/>
      <w:bookmarkEnd w:id="11"/>
      <w:bookmarkEnd w:id="12"/>
    </w:p>
    <w:p w14:paraId="45DEA954">
      <w:pPr>
        <w:keepNext/>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报名时间：202</w:t>
      </w:r>
      <w:r>
        <w:rPr>
          <w:rFonts w:hint="eastAsia" w:ascii="仿宋" w:hAnsi="仿宋" w:eastAsia="仿宋" w:cs="仿宋"/>
          <w:color w:val="auto"/>
          <w:kern w:val="0"/>
          <w:sz w:val="28"/>
          <w:szCs w:val="28"/>
          <w:highlight w:val="none"/>
          <w:lang w:val="en-US" w:eastAsia="zh-CN"/>
        </w:rPr>
        <w:t>6</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4</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1</w:t>
      </w:r>
      <w:r>
        <w:rPr>
          <w:rFonts w:hint="eastAsia" w:ascii="仿宋" w:hAnsi="仿宋" w:eastAsia="仿宋" w:cs="仿宋"/>
          <w:color w:val="auto"/>
          <w:kern w:val="0"/>
          <w:sz w:val="28"/>
          <w:szCs w:val="28"/>
          <w:highlight w:val="none"/>
        </w:rPr>
        <w:t>日-202</w:t>
      </w:r>
      <w:r>
        <w:rPr>
          <w:rFonts w:hint="eastAsia" w:ascii="仿宋" w:hAnsi="仿宋" w:eastAsia="仿宋" w:cs="仿宋"/>
          <w:color w:val="auto"/>
          <w:kern w:val="0"/>
          <w:sz w:val="28"/>
          <w:szCs w:val="28"/>
          <w:highlight w:val="none"/>
          <w:lang w:val="en-US" w:eastAsia="zh-CN"/>
        </w:rPr>
        <w:t>6</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4</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17</w:t>
      </w:r>
      <w:r>
        <w:rPr>
          <w:rFonts w:hint="eastAsia" w:ascii="仿宋" w:hAnsi="仿宋" w:eastAsia="仿宋" w:cs="仿宋"/>
          <w:color w:val="auto"/>
          <w:kern w:val="0"/>
          <w:sz w:val="28"/>
          <w:szCs w:val="28"/>
          <w:highlight w:val="none"/>
        </w:rPr>
        <w:t>日，每天上午8:30至11:30，下午14:00至17:30（北京时间，法定节假日除外）</w:t>
      </w:r>
    </w:p>
    <w:p w14:paraId="0B186224">
      <w:pPr>
        <w:keepNext/>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报名地点：</w:t>
      </w:r>
      <w:r>
        <w:rPr>
          <w:rFonts w:hint="eastAsia" w:ascii="仿宋" w:hAnsi="仿宋" w:eastAsia="仿宋" w:cs="仿宋"/>
          <w:color w:val="auto"/>
          <w:kern w:val="0"/>
          <w:sz w:val="28"/>
          <w:szCs w:val="28"/>
          <w:highlight w:val="none"/>
          <w:lang w:val="en-US" w:eastAsia="zh-CN"/>
        </w:rPr>
        <w:t xml:space="preserve">淮安市洪泽区中润武夷国际广场1号楼2108室江苏神州项目管理有限公司  </w:t>
      </w:r>
    </w:p>
    <w:p w14:paraId="3612A875">
      <w:pPr>
        <w:keepNext/>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报名联系人：</w:t>
      </w:r>
      <w:r>
        <w:rPr>
          <w:rFonts w:hint="eastAsia" w:ascii="仿宋" w:hAnsi="仿宋" w:eastAsia="仿宋" w:cs="仿宋"/>
          <w:color w:val="auto"/>
          <w:kern w:val="0"/>
          <w:sz w:val="28"/>
          <w:szCs w:val="28"/>
          <w:highlight w:val="none"/>
          <w:lang w:val="en-US" w:eastAsia="zh-CN"/>
        </w:rPr>
        <w:t>杨工</w:t>
      </w:r>
      <w:r>
        <w:rPr>
          <w:rFonts w:hint="eastAsia" w:ascii="仿宋" w:hAnsi="仿宋" w:eastAsia="仿宋" w:cs="仿宋"/>
          <w:color w:val="auto"/>
          <w:kern w:val="0"/>
          <w:sz w:val="28"/>
          <w:szCs w:val="28"/>
          <w:highlight w:val="none"/>
        </w:rPr>
        <w:t xml:space="preserve">   </w:t>
      </w:r>
      <w:r>
        <w:rPr>
          <w:rFonts w:hint="eastAsia" w:ascii="仿宋" w:hAnsi="仿宋" w:eastAsia="仿宋" w:cs="仿宋"/>
          <w:color w:val="auto"/>
          <w:kern w:val="0"/>
          <w:sz w:val="28"/>
          <w:szCs w:val="28"/>
          <w:highlight w:val="none"/>
          <w:lang w:val="en-US" w:eastAsia="zh-CN"/>
        </w:rPr>
        <w:t>18052359676</w:t>
      </w:r>
    </w:p>
    <w:p w14:paraId="742C3710">
      <w:pPr>
        <w:keepNext/>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报名方</w:t>
      </w:r>
      <w:r>
        <w:rPr>
          <w:rFonts w:hint="eastAsia" w:ascii="仿宋" w:hAnsi="仿宋" w:eastAsia="仿宋" w:cs="仿宋"/>
          <w:b w:val="0"/>
          <w:bCs w:val="0"/>
          <w:color w:val="auto"/>
          <w:kern w:val="0"/>
          <w:sz w:val="28"/>
          <w:szCs w:val="28"/>
          <w:highlight w:val="none"/>
        </w:rPr>
        <w:t>式：</w:t>
      </w:r>
      <w:r>
        <w:rPr>
          <w:rFonts w:hint="eastAsia" w:ascii="仿宋" w:hAnsi="仿宋" w:eastAsia="仿宋" w:cs="仿宋"/>
          <w:b w:val="0"/>
          <w:bCs w:val="0"/>
          <w:color w:val="auto"/>
          <w:sz w:val="28"/>
          <w:szCs w:val="28"/>
          <w:highlight w:val="none"/>
        </w:rPr>
        <w:t>现场或线上报名，</w:t>
      </w:r>
      <w:r>
        <w:rPr>
          <w:rFonts w:hint="eastAsia" w:ascii="仿宋" w:hAnsi="仿宋" w:eastAsia="仿宋" w:cs="仿宋"/>
          <w:color w:val="auto"/>
          <w:sz w:val="28"/>
          <w:szCs w:val="28"/>
          <w:highlight w:val="none"/>
        </w:rPr>
        <w:t>请各投标人报名前先电话联系代理公司并</w:t>
      </w:r>
      <w:r>
        <w:rPr>
          <w:rFonts w:hint="eastAsia" w:ascii="仿宋" w:hAnsi="仿宋" w:eastAsia="仿宋" w:cs="仿宋"/>
          <w:color w:val="auto"/>
          <w:kern w:val="0"/>
          <w:sz w:val="28"/>
          <w:szCs w:val="28"/>
          <w:highlight w:val="none"/>
        </w:rPr>
        <w:t>提供以下报名资料：</w:t>
      </w:r>
    </w:p>
    <w:p w14:paraId="16C78F8D">
      <w:pPr>
        <w:keepNext/>
        <w:pageBreakBefore w:val="0"/>
        <w:widowControl w:val="0"/>
        <w:numPr>
          <w:ilvl w:val="0"/>
          <w:numId w:val="0"/>
        </w:numPr>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（1）投标确认函加盖单位公章；</w:t>
      </w:r>
    </w:p>
    <w:p w14:paraId="07367411">
      <w:pPr>
        <w:keepNext/>
        <w:pageBreakBefore w:val="0"/>
        <w:widowControl w:val="0"/>
        <w:numPr>
          <w:ilvl w:val="0"/>
          <w:numId w:val="0"/>
        </w:numPr>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lang w:val="en-US" w:eastAsia="zh-CN"/>
        </w:rPr>
        <w:t>2</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投标人</w:t>
      </w:r>
      <w:r>
        <w:rPr>
          <w:rFonts w:hint="eastAsia" w:ascii="仿宋" w:hAnsi="仿宋" w:eastAsia="仿宋" w:cs="仿宋"/>
          <w:color w:val="auto"/>
          <w:sz w:val="28"/>
          <w:szCs w:val="28"/>
          <w:highlight w:val="none"/>
        </w:rPr>
        <w:t>营业执照副本复印件加盖单位公章</w:t>
      </w:r>
      <w:r>
        <w:rPr>
          <w:rFonts w:hint="eastAsia" w:ascii="仿宋" w:hAnsi="仿宋" w:eastAsia="仿宋" w:cs="仿宋"/>
          <w:color w:val="auto"/>
          <w:kern w:val="0"/>
          <w:sz w:val="28"/>
          <w:szCs w:val="28"/>
          <w:highlight w:val="none"/>
          <w:lang w:val="en-US" w:eastAsia="zh-CN"/>
        </w:rPr>
        <w:t>；</w:t>
      </w:r>
    </w:p>
    <w:p w14:paraId="0FE404FC">
      <w:pPr>
        <w:keepNext/>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法人资格证明或法定代表人授权委托书及本人身份证复印件加盖单位公章</w:t>
      </w:r>
      <w:r>
        <w:rPr>
          <w:rFonts w:hint="eastAsia" w:ascii="仿宋" w:hAnsi="仿宋" w:eastAsia="仿宋" w:cs="仿宋"/>
          <w:color w:val="auto"/>
          <w:kern w:val="0"/>
          <w:sz w:val="28"/>
          <w:szCs w:val="28"/>
          <w:highlight w:val="none"/>
        </w:rPr>
        <w:t>。</w:t>
      </w:r>
    </w:p>
    <w:p w14:paraId="72537089">
      <w:pPr>
        <w:keepLines/>
        <w:pageBreakBefore w:val="0"/>
        <w:widowControl w:val="0"/>
        <w:kinsoku/>
        <w:wordWrap/>
        <w:topLinePunct w:val="0"/>
        <w:bidi w:val="0"/>
        <w:adjustRightInd w:val="0"/>
        <w:snapToGrid w:val="0"/>
        <w:spacing w:line="520" w:lineRule="exact"/>
        <w:textAlignment w:val="auto"/>
        <w:outlineLvl w:val="1"/>
        <w:rPr>
          <w:rFonts w:hint="eastAsia" w:ascii="仿宋" w:hAnsi="仿宋" w:eastAsia="仿宋" w:cs="仿宋"/>
          <w:b/>
          <w:color w:val="auto"/>
          <w:sz w:val="28"/>
          <w:szCs w:val="28"/>
          <w:highlight w:val="none"/>
        </w:rPr>
      </w:pPr>
      <w:bookmarkStart w:id="13" w:name="_Toc5918"/>
      <w:bookmarkStart w:id="14" w:name="_Toc11842"/>
      <w:bookmarkStart w:id="15" w:name="_Toc14937"/>
      <w:bookmarkStart w:id="16" w:name="_Toc24194"/>
      <w:r>
        <w:rPr>
          <w:rFonts w:hint="eastAsia" w:ascii="仿宋" w:hAnsi="仿宋" w:eastAsia="仿宋" w:cs="仿宋"/>
          <w:b/>
          <w:color w:val="auto"/>
          <w:sz w:val="28"/>
          <w:szCs w:val="28"/>
          <w:highlight w:val="none"/>
        </w:rPr>
        <w:t>四、提交投标文件截止时间、开标时间和地点</w:t>
      </w:r>
      <w:bookmarkEnd w:id="13"/>
      <w:bookmarkEnd w:id="14"/>
      <w:bookmarkEnd w:id="15"/>
      <w:bookmarkEnd w:id="16"/>
    </w:p>
    <w:p w14:paraId="229C0318">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开标时间：</w:t>
      </w:r>
      <w:r>
        <w:rPr>
          <w:rFonts w:hint="eastAsia" w:ascii="仿宋" w:hAnsi="仿宋" w:eastAsia="仿宋" w:cs="仿宋"/>
          <w:color w:val="auto"/>
          <w:sz w:val="28"/>
          <w:szCs w:val="28"/>
          <w:highlight w:val="none"/>
        </w:rPr>
        <w:t>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20</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点</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0分</w:t>
      </w:r>
      <w:r>
        <w:rPr>
          <w:rFonts w:hint="eastAsia" w:ascii="仿宋" w:hAnsi="仿宋" w:eastAsia="仿宋" w:cs="仿宋"/>
          <w:bCs/>
          <w:color w:val="auto"/>
          <w:sz w:val="28"/>
          <w:szCs w:val="28"/>
          <w:highlight w:val="none"/>
        </w:rPr>
        <w:t>（北京时间）</w:t>
      </w:r>
    </w:p>
    <w:p w14:paraId="7791CB6C">
      <w:pPr>
        <w:pStyle w:val="2"/>
        <w:keepLines/>
        <w:pageBreakBefore w:val="0"/>
        <w:widowControl w:val="0"/>
        <w:kinsoku/>
        <w:wordWrap/>
        <w:topLinePunct w:val="0"/>
        <w:bidi w:val="0"/>
        <w:spacing w:line="520" w:lineRule="exact"/>
        <w:ind w:left="0" w:leftChars="0"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文件递交</w:t>
      </w:r>
      <w:r>
        <w:rPr>
          <w:rFonts w:hint="eastAsia" w:ascii="仿宋" w:hAnsi="仿宋" w:eastAsia="仿宋" w:cs="仿宋"/>
          <w:color w:val="auto"/>
          <w:sz w:val="28"/>
          <w:szCs w:val="28"/>
          <w:highlight w:val="none"/>
        </w:rPr>
        <w:t>截止时间：202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20</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点</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0分</w:t>
      </w:r>
      <w:r>
        <w:rPr>
          <w:rFonts w:hint="eastAsia" w:ascii="仿宋" w:hAnsi="仿宋" w:eastAsia="仿宋" w:cs="仿宋"/>
          <w:bCs/>
          <w:color w:val="auto"/>
          <w:sz w:val="28"/>
          <w:szCs w:val="28"/>
          <w:highlight w:val="none"/>
        </w:rPr>
        <w:t>（北京时间）</w:t>
      </w:r>
    </w:p>
    <w:p w14:paraId="6F2EF4DC">
      <w:pPr>
        <w:pStyle w:val="2"/>
        <w:keepLines/>
        <w:pageBreakBefore w:val="0"/>
        <w:widowControl w:val="0"/>
        <w:kinsoku/>
        <w:wordWrap/>
        <w:topLinePunct w:val="0"/>
        <w:bidi w:val="0"/>
        <w:spacing w:line="520" w:lineRule="exact"/>
        <w:ind w:left="0" w:leftChars="0" w:firstLine="560" w:firstLineChars="200"/>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文件递交地点：</w:t>
      </w:r>
      <w:r>
        <w:rPr>
          <w:rFonts w:hint="eastAsia" w:ascii="仿宋" w:hAnsi="仿宋" w:eastAsia="仿宋" w:cs="仿宋"/>
          <w:bCs/>
          <w:color w:val="auto"/>
          <w:sz w:val="28"/>
          <w:szCs w:val="28"/>
          <w:highlight w:val="none"/>
          <w:lang w:val="en-US" w:eastAsia="zh-CN"/>
        </w:rPr>
        <w:t>淮安市洪泽区中润武夷国际广场1号楼2108室江苏神州项目管理有限公司开标室</w:t>
      </w:r>
    </w:p>
    <w:p w14:paraId="52E5C86F">
      <w:pPr>
        <w:keepLines/>
        <w:pageBreakBefore w:val="0"/>
        <w:widowControl w:val="0"/>
        <w:kinsoku/>
        <w:wordWrap/>
        <w:overflowPunct w:val="0"/>
        <w:topLinePunct w:val="0"/>
        <w:bidi w:val="0"/>
        <w:snapToGrid w:val="0"/>
        <w:spacing w:line="520" w:lineRule="exact"/>
        <w:ind w:firstLine="568" w:firstLineChars="202"/>
        <w:textAlignment w:val="auto"/>
        <w:rPr>
          <w:rFonts w:hint="eastAsia" w:ascii="仿宋" w:hAnsi="仿宋" w:eastAsia="仿宋" w:cs="仿宋"/>
          <w:bCs/>
          <w:color w:val="auto"/>
          <w:sz w:val="28"/>
          <w:szCs w:val="28"/>
          <w:highlight w:val="none"/>
        </w:rPr>
      </w:pPr>
      <w:r>
        <w:rPr>
          <w:rFonts w:hint="eastAsia" w:ascii="仿宋" w:hAnsi="仿宋" w:eastAsia="仿宋" w:cs="仿宋"/>
          <w:b/>
          <w:color w:val="auto"/>
          <w:sz w:val="28"/>
          <w:szCs w:val="28"/>
          <w:highlight w:val="none"/>
        </w:rPr>
        <w:t>【投标文件是指纸质密封文件一正四副】</w:t>
      </w:r>
    </w:p>
    <w:p w14:paraId="5B2D0201">
      <w:pPr>
        <w:keepLines/>
        <w:pageBreakBefore w:val="0"/>
        <w:widowControl w:val="0"/>
        <w:kinsoku/>
        <w:wordWrap/>
        <w:topLinePunct w:val="0"/>
        <w:bidi w:val="0"/>
        <w:adjustRightInd w:val="0"/>
        <w:snapToGrid w:val="0"/>
        <w:spacing w:line="520" w:lineRule="exact"/>
        <w:textAlignment w:val="auto"/>
        <w:outlineLvl w:val="1"/>
        <w:rPr>
          <w:rFonts w:hint="eastAsia" w:ascii="仿宋" w:hAnsi="仿宋" w:eastAsia="仿宋" w:cs="仿宋"/>
          <w:b/>
          <w:color w:val="auto"/>
          <w:sz w:val="28"/>
          <w:szCs w:val="28"/>
          <w:highlight w:val="none"/>
        </w:rPr>
      </w:pPr>
      <w:bookmarkStart w:id="17" w:name="_Toc5051"/>
      <w:bookmarkStart w:id="18" w:name="_Toc13428"/>
      <w:bookmarkStart w:id="19" w:name="_Toc14736"/>
      <w:bookmarkStart w:id="20" w:name="_Toc29872"/>
      <w:r>
        <w:rPr>
          <w:rFonts w:hint="eastAsia" w:ascii="仿宋" w:hAnsi="仿宋" w:eastAsia="仿宋" w:cs="仿宋"/>
          <w:b/>
          <w:color w:val="auto"/>
          <w:sz w:val="28"/>
          <w:szCs w:val="28"/>
          <w:highlight w:val="none"/>
        </w:rPr>
        <w:t>五、公告期限</w:t>
      </w:r>
      <w:bookmarkEnd w:id="17"/>
      <w:bookmarkEnd w:id="18"/>
      <w:bookmarkEnd w:id="19"/>
      <w:bookmarkEnd w:id="20"/>
    </w:p>
    <w:p w14:paraId="4F82EE3F">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自本公告发布之日起5个工作日。</w:t>
      </w:r>
    </w:p>
    <w:p w14:paraId="0F519BE3">
      <w:pPr>
        <w:keepLines/>
        <w:pageBreakBefore w:val="0"/>
        <w:widowControl w:val="0"/>
        <w:kinsoku/>
        <w:wordWrap/>
        <w:topLinePunct w:val="0"/>
        <w:bidi w:val="0"/>
        <w:adjustRightInd w:val="0"/>
        <w:snapToGrid w:val="0"/>
        <w:spacing w:line="520" w:lineRule="exact"/>
        <w:textAlignment w:val="auto"/>
        <w:outlineLvl w:val="1"/>
        <w:rPr>
          <w:rFonts w:hint="eastAsia" w:ascii="仿宋" w:hAnsi="仿宋" w:eastAsia="仿宋" w:cs="仿宋"/>
          <w:b/>
          <w:color w:val="auto"/>
          <w:sz w:val="28"/>
          <w:szCs w:val="28"/>
          <w:highlight w:val="none"/>
        </w:rPr>
      </w:pPr>
      <w:bookmarkStart w:id="21" w:name="_Toc25094"/>
      <w:bookmarkStart w:id="22" w:name="_Toc12093"/>
      <w:bookmarkStart w:id="23" w:name="_Toc23128"/>
      <w:bookmarkStart w:id="24" w:name="_Toc22129"/>
      <w:r>
        <w:rPr>
          <w:rFonts w:hint="eastAsia" w:ascii="仿宋" w:hAnsi="仿宋" w:eastAsia="仿宋" w:cs="仿宋"/>
          <w:b/>
          <w:color w:val="auto"/>
          <w:sz w:val="28"/>
          <w:szCs w:val="28"/>
          <w:highlight w:val="none"/>
        </w:rPr>
        <w:t>六、其他补充事宜</w:t>
      </w:r>
      <w:bookmarkEnd w:id="21"/>
      <w:bookmarkEnd w:id="22"/>
      <w:bookmarkEnd w:id="23"/>
      <w:bookmarkEnd w:id="24"/>
    </w:p>
    <w:p w14:paraId="4A8C0F28">
      <w:pPr>
        <w:keepLines/>
        <w:pageBreakBefore w:val="0"/>
        <w:widowControl w:val="0"/>
        <w:kinsoku/>
        <w:wordWrap/>
        <w:overflowPunct w:val="0"/>
        <w:topLinePunct w:val="0"/>
        <w:bidi w:val="0"/>
        <w:snapToGrid w:val="0"/>
        <w:spacing w:line="520" w:lineRule="exact"/>
        <w:ind w:firstLine="565" w:firstLineChars="202"/>
        <w:textAlignment w:val="auto"/>
        <w:rPr>
          <w:rFonts w:hint="eastAsia" w:ascii="仿宋" w:hAnsi="仿宋" w:eastAsia="仿宋" w:cs="仿宋"/>
          <w:bCs/>
          <w:color w:val="auto"/>
          <w:sz w:val="28"/>
          <w:szCs w:val="28"/>
          <w:highlight w:val="none"/>
        </w:rPr>
      </w:pPr>
      <w:bookmarkStart w:id="25" w:name="_Toc4600"/>
      <w:bookmarkStart w:id="26" w:name="_Toc12123"/>
      <w:bookmarkStart w:id="27" w:name="_Toc22555"/>
      <w:r>
        <w:rPr>
          <w:rFonts w:hint="eastAsia" w:ascii="仿宋" w:hAnsi="仿宋" w:eastAsia="仿宋" w:cs="仿宋"/>
          <w:bCs/>
          <w:color w:val="auto"/>
          <w:sz w:val="28"/>
          <w:szCs w:val="28"/>
          <w:highlight w:val="none"/>
          <w:lang w:val="en-US" w:eastAsia="zh-CN"/>
        </w:rPr>
        <w:t>1</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本项目接受分支机构报名，但同一银行只能有一家所属分支机构参与投标。</w:t>
      </w:r>
    </w:p>
    <w:p w14:paraId="51C16A57">
      <w:pPr>
        <w:keepLines/>
        <w:pageBreakBefore w:val="0"/>
        <w:widowControl w:val="0"/>
        <w:kinsoku/>
        <w:wordWrap/>
        <w:overflowPunct w:val="0"/>
        <w:topLinePunct w:val="0"/>
        <w:bidi w:val="0"/>
        <w:snapToGrid w:val="0"/>
        <w:spacing w:line="520" w:lineRule="exact"/>
        <w:ind w:firstLine="565" w:firstLineChars="202"/>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2</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公告媒体：</w:t>
      </w:r>
      <w:r>
        <w:rPr>
          <w:rFonts w:hint="eastAsia" w:ascii="仿宋" w:hAnsi="仿宋" w:eastAsia="仿宋" w:cs="仿宋"/>
          <w:bCs/>
          <w:color w:val="auto"/>
          <w:sz w:val="28"/>
          <w:szCs w:val="28"/>
          <w:highlight w:val="none"/>
          <w:lang w:eastAsia="zh-CN"/>
        </w:rPr>
        <w:t>淮安市洪泽区人民政府网（http://www.hongze.gov.cn/）</w:t>
      </w:r>
      <w:r>
        <w:rPr>
          <w:rFonts w:hint="eastAsia" w:ascii="仿宋" w:hAnsi="仿宋" w:eastAsia="仿宋" w:cs="仿宋"/>
          <w:bCs/>
          <w:color w:val="auto"/>
          <w:sz w:val="28"/>
          <w:szCs w:val="28"/>
          <w:highlight w:val="none"/>
        </w:rPr>
        <w:t>。</w:t>
      </w:r>
    </w:p>
    <w:p w14:paraId="3735E8A4">
      <w:pPr>
        <w:keepLines/>
        <w:pageBreakBefore w:val="0"/>
        <w:widowControl w:val="0"/>
        <w:kinsoku/>
        <w:wordWrap/>
        <w:overflowPunct w:val="0"/>
        <w:topLinePunct w:val="0"/>
        <w:bidi w:val="0"/>
        <w:snapToGrid w:val="0"/>
        <w:spacing w:line="520" w:lineRule="exact"/>
        <w:ind w:firstLine="565" w:firstLineChars="202"/>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特别提醒：若采购信息发生变动或修改，各投标人未连续登陆</w:t>
      </w:r>
      <w:r>
        <w:rPr>
          <w:rFonts w:hint="eastAsia" w:ascii="仿宋" w:hAnsi="仿宋" w:eastAsia="仿宋" w:cs="仿宋"/>
          <w:bCs/>
          <w:color w:val="auto"/>
          <w:sz w:val="28"/>
          <w:szCs w:val="28"/>
          <w:highlight w:val="none"/>
          <w:lang w:eastAsia="zh-CN"/>
        </w:rPr>
        <w:t>淮安市洪泽区人民政府网（http://www.hongze.gov.cn/）</w:t>
      </w:r>
      <w:r>
        <w:rPr>
          <w:rFonts w:hint="eastAsia" w:ascii="仿宋" w:hAnsi="仿宋" w:eastAsia="仿宋" w:cs="仿宋"/>
          <w:bCs/>
          <w:color w:val="auto"/>
          <w:sz w:val="28"/>
          <w:szCs w:val="28"/>
          <w:highlight w:val="none"/>
        </w:rPr>
        <w:t>查看采购信息的，采购人不承担任何责任。</w:t>
      </w:r>
    </w:p>
    <w:p w14:paraId="4FE1CB62">
      <w:pPr>
        <w:keepLines/>
        <w:pageBreakBefore w:val="0"/>
        <w:widowControl w:val="0"/>
        <w:kinsoku/>
        <w:wordWrap/>
        <w:topLinePunct w:val="0"/>
        <w:bidi w:val="0"/>
        <w:adjustRightInd w:val="0"/>
        <w:snapToGrid w:val="0"/>
        <w:spacing w:line="520" w:lineRule="exact"/>
        <w:textAlignment w:val="auto"/>
        <w:outlineLvl w:val="1"/>
        <w:rPr>
          <w:rFonts w:hint="eastAsia" w:ascii="仿宋" w:hAnsi="仿宋" w:eastAsia="仿宋" w:cs="仿宋"/>
          <w:b/>
          <w:color w:val="auto"/>
          <w:sz w:val="28"/>
          <w:szCs w:val="28"/>
          <w:highlight w:val="none"/>
        </w:rPr>
      </w:pPr>
      <w:bookmarkStart w:id="28" w:name="_Toc17589"/>
      <w:r>
        <w:rPr>
          <w:rFonts w:hint="eastAsia" w:ascii="仿宋" w:hAnsi="仿宋" w:eastAsia="仿宋" w:cs="仿宋"/>
          <w:b/>
          <w:color w:val="auto"/>
          <w:sz w:val="28"/>
          <w:szCs w:val="28"/>
          <w:highlight w:val="none"/>
        </w:rPr>
        <w:t>七、对本次招标提出询问，请按以下方式联系</w:t>
      </w:r>
      <w:bookmarkEnd w:id="25"/>
      <w:bookmarkEnd w:id="26"/>
      <w:bookmarkEnd w:id="27"/>
      <w:bookmarkEnd w:id="28"/>
    </w:p>
    <w:bookmarkEnd w:id="0"/>
    <w:bookmarkEnd w:id="1"/>
    <w:bookmarkEnd w:id="2"/>
    <w:p w14:paraId="0164EDBE">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1.采购人信息</w:t>
      </w:r>
    </w:p>
    <w:p w14:paraId="6EE71E72">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lang w:eastAsia="zh-CN"/>
        </w:rPr>
        <w:t>淮安市洪泽区住房和城乡建设局</w:t>
      </w:r>
    </w:p>
    <w:p w14:paraId="0548BFD1">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地址：</w:t>
      </w:r>
      <w:r>
        <w:rPr>
          <w:rFonts w:hint="eastAsia" w:ascii="仿宋" w:hAnsi="仿宋" w:eastAsia="仿宋" w:cs="仿宋"/>
          <w:color w:val="auto"/>
          <w:sz w:val="28"/>
          <w:szCs w:val="28"/>
          <w:highlight w:val="none"/>
          <w:lang w:eastAsia="zh-CN"/>
        </w:rPr>
        <w:t>淮安市洪泽区洪泽湖大道125号交通大厦</w:t>
      </w:r>
    </w:p>
    <w:p w14:paraId="3BFA3CF9">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lang w:eastAsia="zh-CN"/>
        </w:rPr>
        <w:t>刘先生</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电话：15052652637</w:t>
      </w:r>
      <w:bookmarkStart w:id="33" w:name="_GoBack"/>
      <w:bookmarkEnd w:id="33"/>
      <w:r>
        <w:rPr>
          <w:rFonts w:hint="eastAsia" w:ascii="仿宋" w:hAnsi="仿宋" w:eastAsia="仿宋" w:cs="仿宋"/>
          <w:color w:val="auto"/>
          <w:sz w:val="28"/>
          <w:szCs w:val="28"/>
          <w:highlight w:val="none"/>
        </w:rPr>
        <w:t xml:space="preserve"> </w:t>
      </w:r>
      <w:bookmarkStart w:id="29" w:name="_Toc28359086"/>
      <w:bookmarkStart w:id="30" w:name="_Toc28359009"/>
      <w:r>
        <w:rPr>
          <w:rFonts w:hint="eastAsia" w:ascii="仿宋" w:hAnsi="仿宋" w:eastAsia="仿宋" w:cs="仿宋"/>
          <w:color w:val="auto"/>
          <w:sz w:val="28"/>
          <w:szCs w:val="28"/>
          <w:highlight w:val="none"/>
          <w:shd w:val="clear" w:color="auto" w:fill="FFFFFF"/>
          <w:lang w:val="en-US" w:eastAsia="zh-CN"/>
        </w:rPr>
        <w:t xml:space="preserve"> </w:t>
      </w:r>
    </w:p>
    <w:p w14:paraId="5C0C8A34">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2.采购代理机构信息</w:t>
      </w:r>
      <w:bookmarkEnd w:id="29"/>
      <w:bookmarkEnd w:id="30"/>
    </w:p>
    <w:p w14:paraId="424D3C50">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lang w:eastAsia="zh-CN"/>
        </w:rPr>
      </w:pPr>
      <w:bookmarkStart w:id="31" w:name="_Toc28359010"/>
      <w:bookmarkStart w:id="32" w:name="_Toc28359087"/>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lang w:eastAsia="zh-CN"/>
        </w:rPr>
        <w:t>江苏神州项目管理有限公司</w:t>
      </w:r>
    </w:p>
    <w:p w14:paraId="1D9F7D1D">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地址：</w:t>
      </w:r>
      <w:r>
        <w:rPr>
          <w:rFonts w:hint="eastAsia" w:ascii="仿宋" w:hAnsi="仿宋" w:eastAsia="仿宋" w:cs="仿宋"/>
          <w:color w:val="auto"/>
          <w:sz w:val="28"/>
          <w:szCs w:val="28"/>
          <w:highlight w:val="none"/>
          <w:lang w:val="en-US" w:eastAsia="zh-CN"/>
        </w:rPr>
        <w:t>淮安市洪泽区中润武夷国际广场1号楼2108室江苏神州项目管理有限公司</w:t>
      </w:r>
    </w:p>
    <w:p w14:paraId="4920F865">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lang w:val="en-US" w:eastAsia="zh-CN"/>
        </w:rPr>
        <w:t>杨工</w:t>
      </w:r>
      <w:r>
        <w:rPr>
          <w:rFonts w:hint="eastAsia" w:ascii="仿宋" w:hAnsi="仿宋" w:eastAsia="仿宋" w:cs="仿宋"/>
          <w:color w:val="auto"/>
          <w:kern w:val="0"/>
          <w:sz w:val="28"/>
          <w:szCs w:val="28"/>
          <w:highlight w:val="none"/>
        </w:rPr>
        <w:t xml:space="preserve">      </w:t>
      </w:r>
      <w:r>
        <w:rPr>
          <w:rFonts w:hint="eastAsia" w:ascii="仿宋" w:hAnsi="仿宋" w:eastAsia="仿宋" w:cs="仿宋"/>
          <w:color w:val="auto"/>
          <w:kern w:val="0"/>
          <w:sz w:val="28"/>
          <w:szCs w:val="28"/>
          <w:highlight w:val="none"/>
          <w:lang w:val="en-US" w:eastAsia="zh-CN"/>
        </w:rPr>
        <w:t>电话：18052359676</w:t>
      </w:r>
    </w:p>
    <w:p w14:paraId="40979C0E">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3.项目联系方式</w:t>
      </w:r>
      <w:bookmarkEnd w:id="31"/>
      <w:bookmarkEnd w:id="32"/>
    </w:p>
    <w:p w14:paraId="767D81D5">
      <w:pPr>
        <w:keepLines/>
        <w:pageBreakBefore w:val="0"/>
        <w:widowControl w:val="0"/>
        <w:kinsoku/>
        <w:wordWrap/>
        <w:topLinePunct w:val="0"/>
        <w:bidi w:val="0"/>
        <w:adjustRightInd w:val="0"/>
        <w:snapToGrid w:val="0"/>
        <w:spacing w:line="520" w:lineRule="exact"/>
        <w:ind w:firstLine="560" w:firstLineChars="200"/>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项目联系人：</w:t>
      </w:r>
      <w:r>
        <w:rPr>
          <w:rFonts w:hint="eastAsia" w:ascii="仿宋" w:hAnsi="仿宋" w:eastAsia="仿宋" w:cs="仿宋"/>
          <w:color w:val="auto"/>
          <w:sz w:val="28"/>
          <w:szCs w:val="28"/>
          <w:highlight w:val="none"/>
          <w:lang w:val="en-US" w:eastAsia="zh-CN"/>
        </w:rPr>
        <w:t>杨工</w:t>
      </w:r>
      <w:r>
        <w:rPr>
          <w:rFonts w:hint="eastAsia" w:ascii="仿宋" w:hAnsi="仿宋" w:eastAsia="仿宋" w:cs="仿宋"/>
          <w:color w:val="auto"/>
          <w:sz w:val="28"/>
          <w:szCs w:val="28"/>
          <w:highlight w:val="none"/>
        </w:rPr>
        <w:t xml:space="preserve">     </w:t>
      </w:r>
    </w:p>
    <w:p w14:paraId="554F19DA">
      <w:pPr>
        <w:keepLines/>
        <w:pageBreakBefore w:val="0"/>
        <w:widowControl w:val="0"/>
        <w:kinsoku/>
        <w:wordWrap/>
        <w:topLinePunct w:val="0"/>
        <w:bidi w:val="0"/>
        <w:adjustRightInd w:val="0"/>
        <w:snapToGrid w:val="0"/>
        <w:spacing w:line="520" w:lineRule="exact"/>
        <w:ind w:firstLine="560" w:firstLineChars="200"/>
        <w:textAlignment w:val="auto"/>
        <w:rPr>
          <w:rFonts w:hint="eastAsia" w:ascii="宋体" w:hAnsi="宋体" w:eastAsia="宋体" w:cs="宋体"/>
          <w:color w:val="auto"/>
          <w:kern w:val="0"/>
          <w:sz w:val="24"/>
          <w:szCs w:val="24"/>
          <w:highlight w:val="none"/>
          <w:lang w:val="en-US" w:eastAsia="zh-CN"/>
        </w:rPr>
      </w:pPr>
      <w:r>
        <w:rPr>
          <w:rFonts w:hint="eastAsia" w:ascii="仿宋" w:hAnsi="仿宋" w:eastAsia="仿宋" w:cs="仿宋"/>
          <w:color w:val="auto"/>
          <w:sz w:val="28"/>
          <w:szCs w:val="28"/>
          <w:highlight w:val="none"/>
        </w:rPr>
        <w:t>电话：</w:t>
      </w:r>
      <w:r>
        <w:rPr>
          <w:rFonts w:hint="eastAsia" w:ascii="仿宋" w:hAnsi="仿宋" w:eastAsia="仿宋" w:cs="仿宋"/>
          <w:color w:val="auto"/>
          <w:kern w:val="0"/>
          <w:sz w:val="28"/>
          <w:szCs w:val="28"/>
          <w:highlight w:val="none"/>
          <w:lang w:val="en-US" w:eastAsia="zh-CN"/>
        </w:rPr>
        <w:t>18052359676</w:t>
      </w:r>
    </w:p>
    <w:p w14:paraId="37CB433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0E081B"/>
    <w:rsid w:val="6E1E0BCE"/>
    <w:rsid w:val="780E0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ind w:firstLine="630"/>
    </w:pPr>
    <w:rPr>
      <w:rFonts w:ascii="楷体_GB2312" w:eastAsia="楷体_GB2312"/>
      <w:sz w:val="32"/>
      <w:szCs w:val="20"/>
    </w:rPr>
  </w:style>
  <w:style w:type="paragraph" w:styleId="3">
    <w:name w:val="Body Text First Indent 2"/>
    <w:basedOn w:val="2"/>
    <w:qFormat/>
    <w:uiPriority w:val="0"/>
    <w:pPr>
      <w:spacing w:after="120"/>
      <w:ind w:left="200" w:leftChars="200" w:firstLine="200" w:firstLineChars="200"/>
    </w:pPr>
    <w:rPr>
      <w:sz w:val="21"/>
    </w:rPr>
  </w:style>
  <w:style w:type="paragraph" w:customStyle="1"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1759</Words>
  <Characters>2016</Characters>
  <Lines>0</Lines>
  <Paragraphs>0</Paragraphs>
  <TotalTime>2</TotalTime>
  <ScaleCrop>false</ScaleCrop>
  <LinksUpToDate>false</LinksUpToDate>
  <CharactersWithSpaces>2044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2026-03-31T06:46:00Z</dcterms:created>
  <dc:creator>石头</dc:creator>
  <cp:lastModifiedBy>石头</cp:lastModifiedBy>
  <dcterms:modified xsi:type="dcterms:W3CDTF">2026-03-31T07:28:13Z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31DC1E8A25944F73AE09424683E290F3_11</vt:lpwstr>
  </property>
  <property fmtid="{D5CDD505-2E9C-101B-9397-08002B2CF9AE}" pid="4" name="KSOTemplateDocerSaveRecord">
    <vt:lpwstr>eyJoZGlkIjoiZjZjNzZmNTQ4ZTczYmNkMTg1OGU1MTM1M2JiOTVlNGMiLCJ1c2VySWQiOiI0NzE2MTQyMzYifQ==</vt:lpwstr>
  </property>
</Properties>
</file>